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30268" w:type="dxa"/>
        <w:tblLook w:val="04A0"/>
      </w:tblPr>
      <w:tblGrid>
        <w:gridCol w:w="3070"/>
        <w:gridCol w:w="4497"/>
        <w:gridCol w:w="7567"/>
        <w:gridCol w:w="15134"/>
      </w:tblGrid>
      <w:tr w:rsidR="00193216" w:rsidRPr="007E3BAF" w:rsidTr="007E3BAF">
        <w:trPr>
          <w:gridAfter w:val="1"/>
          <w:wAfter w:w="15134" w:type="dxa"/>
        </w:trPr>
        <w:tc>
          <w:tcPr>
            <w:tcW w:w="15134" w:type="dxa"/>
            <w:gridSpan w:val="3"/>
          </w:tcPr>
          <w:p w:rsidR="00193216" w:rsidRPr="00FD5B96" w:rsidRDefault="00193216" w:rsidP="00806931">
            <w:pPr>
              <w:pStyle w:val="Titre"/>
              <w:rPr>
                <w:b/>
                <w:sz w:val="28"/>
                <w:szCs w:val="28"/>
              </w:rPr>
            </w:pPr>
            <w:r w:rsidRPr="00FD5B96">
              <w:rPr>
                <w:b/>
                <w:sz w:val="28"/>
                <w:szCs w:val="28"/>
              </w:rPr>
              <w:t xml:space="preserve">Lors de la Session Biennale de 2009, le plan ci-dessous a été validé </w:t>
            </w:r>
            <w:r w:rsidR="00150C3E" w:rsidRPr="00FD5B96">
              <w:rPr>
                <w:b/>
                <w:sz w:val="28"/>
                <w:szCs w:val="28"/>
              </w:rPr>
              <w:t xml:space="preserve">samedi 24 octobre  </w:t>
            </w:r>
            <w:r w:rsidRPr="00FD5B96">
              <w:rPr>
                <w:b/>
                <w:sz w:val="28"/>
                <w:szCs w:val="28"/>
              </w:rPr>
              <w:t>par la CTR; les grandes lignes de ce plan ont été présentées au Con</w:t>
            </w:r>
            <w:r w:rsidR="00150C3E" w:rsidRPr="00FD5B96">
              <w:rPr>
                <w:b/>
                <w:sz w:val="28"/>
                <w:szCs w:val="28"/>
              </w:rPr>
              <w:t>seil de Direction le dimanche 25</w:t>
            </w:r>
            <w:r w:rsidRPr="00FD5B96">
              <w:rPr>
                <w:b/>
                <w:sz w:val="28"/>
                <w:szCs w:val="28"/>
              </w:rPr>
              <w:t xml:space="preserve"> octobre.</w:t>
            </w:r>
          </w:p>
          <w:p w:rsidR="00070D71" w:rsidRPr="00FD5B96" w:rsidRDefault="00070D71" w:rsidP="00070D71">
            <w:pPr>
              <w:rPr>
                <w:rFonts w:asciiTheme="majorHAnsi" w:hAnsiTheme="majorHAnsi"/>
                <w:sz w:val="28"/>
                <w:szCs w:val="28"/>
              </w:rPr>
            </w:pPr>
            <w:r w:rsidRPr="00FD5B96">
              <w:rPr>
                <w:rFonts w:asciiTheme="majorHAnsi" w:hAnsiTheme="majorHAnsi"/>
                <w:sz w:val="28"/>
                <w:szCs w:val="28"/>
              </w:rPr>
              <w:t xml:space="preserve">Le principe de ce plan a été de retenir les dangers et les menaces sur lesquels la CTR peut avoir une action positive qui sera admise </w:t>
            </w:r>
            <w:r w:rsidR="00AC0B65">
              <w:rPr>
                <w:rFonts w:asciiTheme="majorHAnsi" w:hAnsiTheme="majorHAnsi"/>
                <w:sz w:val="28"/>
                <w:szCs w:val="28"/>
              </w:rPr>
              <w:t xml:space="preserve">et encouragée </w:t>
            </w:r>
            <w:r w:rsidRPr="00FD5B96">
              <w:rPr>
                <w:rFonts w:asciiTheme="majorHAnsi" w:hAnsiTheme="majorHAnsi"/>
                <w:sz w:val="28"/>
                <w:szCs w:val="28"/>
              </w:rPr>
              <w:t>par le monde du trial</w:t>
            </w:r>
          </w:p>
          <w:p w:rsidR="00FD5B96" w:rsidRPr="00FD5B96" w:rsidRDefault="00193216" w:rsidP="00150C3E">
            <w:pPr>
              <w:rPr>
                <w:rFonts w:asciiTheme="majorHAnsi" w:hAnsiTheme="majorHAnsi"/>
                <w:sz w:val="28"/>
                <w:szCs w:val="28"/>
              </w:rPr>
            </w:pPr>
            <w:r w:rsidRPr="00FD5B96">
              <w:rPr>
                <w:rFonts w:asciiTheme="majorHAnsi" w:hAnsiTheme="majorHAnsi"/>
                <w:sz w:val="28"/>
                <w:szCs w:val="28"/>
              </w:rPr>
              <w:t xml:space="preserve">Ce plan doit être </w:t>
            </w:r>
            <w:r w:rsidR="00150C3E" w:rsidRPr="00FD5B96">
              <w:rPr>
                <w:rFonts w:asciiTheme="majorHAnsi" w:hAnsiTheme="majorHAnsi"/>
                <w:sz w:val="28"/>
                <w:szCs w:val="28"/>
              </w:rPr>
              <w:t xml:space="preserve">enclenché immédiatement, même si toutes les actions ne peuvent être lancées en même temps ; il n’a pas ou très peu d’impact budgétaire, il nécessite seulement du travail et de la </w:t>
            </w:r>
            <w:r w:rsidR="00FD5B96" w:rsidRPr="00FD5B96">
              <w:rPr>
                <w:rFonts w:asciiTheme="majorHAnsi" w:hAnsiTheme="majorHAnsi"/>
                <w:sz w:val="28"/>
                <w:szCs w:val="28"/>
              </w:rPr>
              <w:t xml:space="preserve">passion. </w:t>
            </w:r>
          </w:p>
          <w:p w:rsidR="00193216" w:rsidRPr="00FD5B96" w:rsidRDefault="00FD5B96" w:rsidP="00FD5B96">
            <w:pPr>
              <w:rPr>
                <w:rFonts w:asciiTheme="majorHAnsi" w:hAnsiTheme="majorHAnsi"/>
                <w:sz w:val="28"/>
                <w:szCs w:val="28"/>
              </w:rPr>
            </w:pPr>
            <w:r w:rsidRPr="00FD5B96">
              <w:rPr>
                <w:rFonts w:asciiTheme="majorHAnsi" w:hAnsiTheme="majorHAnsi"/>
                <w:sz w:val="28"/>
                <w:szCs w:val="28"/>
              </w:rPr>
              <w:t>Ce plan</w:t>
            </w:r>
            <w:r w:rsidR="00150C3E" w:rsidRPr="00FD5B96">
              <w:rPr>
                <w:rFonts w:asciiTheme="majorHAnsi" w:hAnsiTheme="majorHAnsi"/>
                <w:sz w:val="28"/>
                <w:szCs w:val="28"/>
              </w:rPr>
              <w:t xml:space="preserve"> s’intégrera sans difficulté dans le plan stratégique de la CTR car un grand nombre des sujets indiqués ci-dessous ont été identifiés lors de l’analyse MOFF </w:t>
            </w:r>
            <w:r w:rsidRPr="00FD5B96">
              <w:rPr>
                <w:rFonts w:asciiTheme="majorHAnsi" w:hAnsiTheme="majorHAnsi"/>
                <w:sz w:val="28"/>
                <w:szCs w:val="28"/>
              </w:rPr>
              <w:t>et les autres pourront s’y ajouter.</w:t>
            </w:r>
          </w:p>
          <w:p w:rsidR="00FD5B96" w:rsidRPr="00FD5B96" w:rsidRDefault="00FD5B96" w:rsidP="00FD5B96">
            <w:pPr>
              <w:pStyle w:val="Titre"/>
              <w:rPr>
                <w:b/>
                <w:sz w:val="28"/>
                <w:szCs w:val="28"/>
              </w:rPr>
            </w:pPr>
          </w:p>
          <w:p w:rsidR="00FD5B96" w:rsidRPr="00AC0B65" w:rsidRDefault="00FD5B96" w:rsidP="00FD5B96">
            <w:pPr>
              <w:rPr>
                <w:rFonts w:asciiTheme="majorHAnsi" w:hAnsiTheme="majorHAnsi"/>
                <w:i/>
                <w:sz w:val="28"/>
                <w:szCs w:val="28"/>
              </w:rPr>
            </w:pPr>
            <w:r w:rsidRPr="00AC0B65">
              <w:rPr>
                <w:rFonts w:asciiTheme="majorHAnsi" w:hAnsiTheme="majorHAnsi"/>
                <w:i/>
                <w:sz w:val="28"/>
                <w:szCs w:val="28"/>
              </w:rPr>
              <w:t>Ce plan comporte 5 champs d’action qui ont tous une part FIM, une part Fédérations Nationales, Presse et industrie</w:t>
            </w:r>
          </w:p>
          <w:p w:rsidR="00FD5B96" w:rsidRPr="00FD5B96" w:rsidRDefault="00FD5B96" w:rsidP="00FD5B96">
            <w:pPr>
              <w:rPr>
                <w:rFonts w:asciiTheme="majorHAnsi" w:hAnsiTheme="majorHAnsi"/>
                <w:sz w:val="28"/>
                <w:szCs w:val="28"/>
              </w:rPr>
            </w:pPr>
          </w:p>
          <w:p w:rsidR="00FD5B96" w:rsidRPr="00FD5B96" w:rsidRDefault="00FD5B96" w:rsidP="00FD5B96">
            <w:pPr>
              <w:rPr>
                <w:rFonts w:asciiTheme="majorHAnsi" w:hAnsiTheme="majorHAnsi"/>
                <w:sz w:val="28"/>
                <w:szCs w:val="28"/>
              </w:rPr>
            </w:pPr>
          </w:p>
        </w:tc>
      </w:tr>
      <w:tr w:rsidR="00806931" w:rsidRPr="007E3BAF" w:rsidTr="007E3BAF">
        <w:trPr>
          <w:gridAfter w:val="1"/>
          <w:wAfter w:w="15134" w:type="dxa"/>
        </w:trPr>
        <w:tc>
          <w:tcPr>
            <w:tcW w:w="15134" w:type="dxa"/>
            <w:gridSpan w:val="3"/>
          </w:tcPr>
          <w:p w:rsidR="00AC0B65" w:rsidRPr="00AC0B65" w:rsidRDefault="00AC0B65" w:rsidP="00FD5B96">
            <w:pPr>
              <w:rPr>
                <w:rFonts w:ascii="Verdana" w:hAnsi="Verdana"/>
                <w:b/>
                <w:color w:val="000000" w:themeColor="text1"/>
                <w:sz w:val="28"/>
                <w:szCs w:val="28"/>
                <w:u w:val="single"/>
              </w:rPr>
            </w:pPr>
            <w:r w:rsidRPr="00AC0B65">
              <w:rPr>
                <w:rFonts w:ascii="Verdana" w:hAnsi="Verdana"/>
                <w:b/>
                <w:color w:val="000000" w:themeColor="text1"/>
                <w:sz w:val="28"/>
                <w:szCs w:val="28"/>
                <w:u w:val="single"/>
              </w:rPr>
              <w:t>Les champs d’action :</w:t>
            </w:r>
          </w:p>
          <w:p w:rsidR="00AC0B65" w:rsidRDefault="00AC0B65" w:rsidP="00FD5B96">
            <w:pPr>
              <w:rPr>
                <w:rFonts w:ascii="Verdana" w:hAnsi="Verdana"/>
                <w:color w:val="000000" w:themeColor="text1"/>
                <w:sz w:val="28"/>
                <w:szCs w:val="28"/>
              </w:rPr>
            </w:pPr>
          </w:p>
          <w:p w:rsidR="00FD5B96" w:rsidRDefault="00806931" w:rsidP="00AC0B65">
            <w:pPr>
              <w:pStyle w:val="Paragraphedeliste"/>
              <w:numPr>
                <w:ilvl w:val="0"/>
                <w:numId w:val="16"/>
              </w:numPr>
              <w:rPr>
                <w:rFonts w:ascii="Verdana" w:hAnsi="Verdana"/>
                <w:color w:val="000000" w:themeColor="text1"/>
              </w:rPr>
            </w:pPr>
            <w:r w:rsidRPr="00AC0B65">
              <w:rPr>
                <w:rFonts w:ascii="Verdana" w:hAnsi="Verdana"/>
                <w:color w:val="000000" w:themeColor="text1"/>
                <w:sz w:val="28"/>
                <w:szCs w:val="28"/>
              </w:rPr>
              <w:t>Mettre le trial sur le devant de la scène</w:t>
            </w:r>
            <w:r w:rsidR="00FD5B96" w:rsidRPr="00AC0B65">
              <w:rPr>
                <w:rFonts w:ascii="Verdana" w:hAnsi="Verdana"/>
                <w:color w:val="000000" w:themeColor="text1"/>
                <w:sz w:val="28"/>
                <w:szCs w:val="28"/>
              </w:rPr>
              <w:t xml:space="preserve"> </w:t>
            </w:r>
            <w:r w:rsidR="00FD5B96" w:rsidRPr="00AC0B65">
              <w:rPr>
                <w:rFonts w:ascii="Verdana" w:hAnsi="Verdana"/>
                <w:color w:val="000000" w:themeColor="text1"/>
              </w:rPr>
              <w:t xml:space="preserve"> </w:t>
            </w:r>
          </w:p>
          <w:p w:rsidR="00AC0B65" w:rsidRPr="00AC0B65" w:rsidRDefault="00AC0B65" w:rsidP="00AC0B65">
            <w:pPr>
              <w:pStyle w:val="Paragraphedeliste"/>
              <w:rPr>
                <w:rFonts w:ascii="Verdana" w:hAnsi="Verdana"/>
                <w:color w:val="000000" w:themeColor="text1"/>
              </w:rPr>
            </w:pPr>
          </w:p>
          <w:p w:rsidR="00FD5B96" w:rsidRPr="00AC0B65" w:rsidRDefault="00FD5B96" w:rsidP="00AC0B65">
            <w:pPr>
              <w:pStyle w:val="Paragraphedeliste"/>
              <w:numPr>
                <w:ilvl w:val="0"/>
                <w:numId w:val="16"/>
              </w:numPr>
              <w:rPr>
                <w:rFonts w:ascii="Verdana" w:hAnsi="Verdana"/>
                <w:color w:val="000000" w:themeColor="text1"/>
                <w:sz w:val="28"/>
                <w:szCs w:val="28"/>
              </w:rPr>
            </w:pPr>
            <w:r w:rsidRPr="00AC0B65">
              <w:rPr>
                <w:rFonts w:ascii="Verdana" w:hAnsi="Verdana"/>
                <w:color w:val="000000" w:themeColor="text1"/>
                <w:sz w:val="28"/>
                <w:szCs w:val="28"/>
              </w:rPr>
              <w:t>Elargir la base des pratiquants</w:t>
            </w:r>
          </w:p>
          <w:p w:rsidR="00FD5B96" w:rsidRPr="00FD5B96" w:rsidRDefault="00FD5B96" w:rsidP="00AC0B65">
            <w:pPr>
              <w:pStyle w:val="Titre1"/>
              <w:numPr>
                <w:ilvl w:val="0"/>
                <w:numId w:val="16"/>
              </w:numPr>
              <w:outlineLvl w:val="0"/>
              <w:rPr>
                <w:rFonts w:ascii="Verdana" w:hAnsi="Verdana"/>
                <w:b w:val="0"/>
                <w:color w:val="000000" w:themeColor="text1"/>
              </w:rPr>
            </w:pPr>
            <w:r w:rsidRPr="00FD5B96">
              <w:rPr>
                <w:rFonts w:ascii="Verdana" w:hAnsi="Verdana"/>
                <w:b w:val="0"/>
                <w:color w:val="000000" w:themeColor="text1"/>
              </w:rPr>
              <w:t xml:space="preserve">Terrains de pratique </w:t>
            </w:r>
          </w:p>
          <w:p w:rsidR="00FD5B96" w:rsidRPr="00FD5B96" w:rsidRDefault="00FD5B96" w:rsidP="00AC0B65">
            <w:pPr>
              <w:pStyle w:val="Titre1"/>
              <w:numPr>
                <w:ilvl w:val="0"/>
                <w:numId w:val="16"/>
              </w:numPr>
              <w:outlineLvl w:val="0"/>
              <w:rPr>
                <w:rFonts w:ascii="Verdana" w:hAnsi="Verdana"/>
                <w:b w:val="0"/>
                <w:color w:val="000000" w:themeColor="text1"/>
              </w:rPr>
            </w:pPr>
            <w:r w:rsidRPr="00FD5B96">
              <w:rPr>
                <w:rFonts w:ascii="Verdana" w:hAnsi="Verdana"/>
                <w:b w:val="0"/>
                <w:color w:val="000000" w:themeColor="text1"/>
              </w:rPr>
              <w:t xml:space="preserve">Aspect élitiste du trial </w:t>
            </w:r>
          </w:p>
          <w:p w:rsidR="00FD5B96" w:rsidRPr="00FD5B96" w:rsidRDefault="00FD5B96" w:rsidP="00AC0B65">
            <w:pPr>
              <w:pStyle w:val="Titre1"/>
              <w:numPr>
                <w:ilvl w:val="0"/>
                <w:numId w:val="16"/>
              </w:numPr>
              <w:outlineLvl w:val="0"/>
              <w:rPr>
                <w:rFonts w:ascii="Verdana" w:hAnsi="Verdana"/>
                <w:b w:val="0"/>
                <w:color w:val="000000" w:themeColor="text1"/>
              </w:rPr>
            </w:pPr>
            <w:r w:rsidRPr="00FD5B96">
              <w:rPr>
                <w:rFonts w:ascii="Verdana" w:hAnsi="Verdana"/>
                <w:b w:val="0"/>
                <w:color w:val="000000" w:themeColor="text1"/>
              </w:rPr>
              <w:t xml:space="preserve">Etablissement des calendriers </w:t>
            </w:r>
          </w:p>
          <w:p w:rsidR="00AC0B65" w:rsidRPr="00AC0B65" w:rsidRDefault="00AC0B65" w:rsidP="00AC0B65">
            <w:pPr>
              <w:pStyle w:val="Paragraphedeliste"/>
              <w:jc w:val="center"/>
              <w:rPr>
                <w:rFonts w:asciiTheme="minorHAnsi" w:hAnsiTheme="minorHAnsi"/>
                <w:b/>
                <w:color w:val="365F91" w:themeColor="accent1" w:themeShade="BF"/>
                <w:sz w:val="52"/>
                <w:szCs w:val="52"/>
              </w:rPr>
            </w:pPr>
            <w:r w:rsidRPr="00AC0B65">
              <w:rPr>
                <w:rFonts w:asciiTheme="minorHAnsi" w:hAnsiTheme="minorHAnsi"/>
                <w:b/>
                <w:color w:val="365F91" w:themeColor="accent1" w:themeShade="BF"/>
                <w:sz w:val="52"/>
                <w:szCs w:val="52"/>
              </w:rPr>
              <w:t>Mettre le trial sur le devant de la scène</w:t>
            </w:r>
          </w:p>
          <w:p w:rsidR="00806931" w:rsidRPr="00FD5B96" w:rsidRDefault="00806931" w:rsidP="00EB166E">
            <w:pPr>
              <w:jc w:val="both"/>
              <w:rPr>
                <w:rFonts w:asciiTheme="majorHAnsi" w:hAnsiTheme="majorHAnsi"/>
                <w:sz w:val="28"/>
                <w:szCs w:val="28"/>
              </w:rPr>
            </w:pPr>
          </w:p>
        </w:tc>
      </w:tr>
      <w:tr w:rsidR="00F12FBF" w:rsidRPr="007E3BAF" w:rsidTr="007E3BAF">
        <w:trPr>
          <w:gridAfter w:val="1"/>
          <w:wAfter w:w="15134" w:type="dxa"/>
        </w:trPr>
        <w:tc>
          <w:tcPr>
            <w:tcW w:w="3070" w:type="dxa"/>
          </w:tcPr>
          <w:p w:rsidR="00F12FBF" w:rsidRPr="007E3BAF" w:rsidRDefault="00F12FBF" w:rsidP="00F12FBF">
            <w:pPr>
              <w:pStyle w:val="Titre1"/>
              <w:rPr>
                <w:rFonts w:asciiTheme="minorHAnsi" w:hAnsiTheme="minorHAnsi"/>
              </w:rPr>
            </w:pPr>
            <w:r w:rsidRPr="007E3BAF">
              <w:rPr>
                <w:rFonts w:asciiTheme="minorHAnsi" w:hAnsiTheme="minorHAnsi"/>
              </w:rPr>
              <w:t xml:space="preserve">Action de la FIM   </w:t>
            </w:r>
          </w:p>
          <w:p w:rsidR="00F12FBF" w:rsidRPr="007E3BAF" w:rsidRDefault="00F12FBF" w:rsidP="00F12FBF">
            <w:pPr>
              <w:pStyle w:val="Titre1"/>
              <w:rPr>
                <w:rFonts w:asciiTheme="minorHAnsi" w:hAnsiTheme="minorHAnsi"/>
              </w:rPr>
            </w:pPr>
          </w:p>
        </w:tc>
        <w:tc>
          <w:tcPr>
            <w:tcW w:w="12064" w:type="dxa"/>
            <w:gridSpan w:val="2"/>
          </w:tcPr>
          <w:p w:rsidR="00F12FBF" w:rsidRPr="007E3BAF" w:rsidRDefault="00F12FBF" w:rsidP="00F12FBF">
            <w:pPr>
              <w:pStyle w:val="Titre1"/>
              <w:jc w:val="center"/>
              <w:rPr>
                <w:rFonts w:asciiTheme="minorHAnsi" w:hAnsiTheme="minorHAnsi"/>
              </w:rPr>
            </w:pPr>
            <w:proofErr w:type="gramStart"/>
            <w:r w:rsidRPr="007E3BAF">
              <w:rPr>
                <w:rFonts w:asciiTheme="minorHAnsi" w:hAnsiTheme="minorHAnsi"/>
              </w:rPr>
              <w:t>remarques</w:t>
            </w:r>
            <w:proofErr w:type="gramEnd"/>
          </w:p>
        </w:tc>
      </w:tr>
      <w:tr w:rsidR="00806931" w:rsidRPr="007E3BAF" w:rsidTr="007E3BAF">
        <w:trPr>
          <w:gridAfter w:val="1"/>
          <w:wAfter w:w="15134" w:type="dxa"/>
        </w:trPr>
        <w:tc>
          <w:tcPr>
            <w:tcW w:w="3070" w:type="dxa"/>
          </w:tcPr>
          <w:p w:rsidR="00806931" w:rsidRPr="007E3BAF" w:rsidRDefault="00806931" w:rsidP="00806931">
            <w:pPr>
              <w:numPr>
                <w:ilvl w:val="0"/>
                <w:numId w:val="2"/>
              </w:numPr>
            </w:pPr>
          </w:p>
        </w:tc>
        <w:tc>
          <w:tcPr>
            <w:tcW w:w="12064" w:type="dxa"/>
            <w:gridSpan w:val="2"/>
          </w:tcPr>
          <w:p w:rsidR="00F12FBF" w:rsidRPr="007E3BAF" w:rsidRDefault="00806931" w:rsidP="00806931">
            <w:pPr>
              <w:numPr>
                <w:ilvl w:val="0"/>
                <w:numId w:val="2"/>
              </w:numPr>
            </w:pPr>
            <w:r w:rsidRPr="007E3BAF">
              <w:t>Cette démarche est politique et a déjà été  engagée par le président de la FIM qui s’est déplacé avec son staff sur plusieurs compétitions et a participé à certaines réunions.</w:t>
            </w:r>
          </w:p>
          <w:p w:rsidR="00806931" w:rsidRPr="007E3BAF" w:rsidRDefault="00F12FBF" w:rsidP="00806931">
            <w:pPr>
              <w:numPr>
                <w:ilvl w:val="0"/>
                <w:numId w:val="2"/>
              </w:numPr>
            </w:pPr>
            <w:r w:rsidRPr="007E3BAF">
              <w:t xml:space="preserve">Depuis juin 2009, le Conseil de direction de la FIM a été informé e la nécessité de mesures a </w:t>
            </w:r>
            <w:proofErr w:type="gramStart"/>
            <w:r w:rsidRPr="007E3BAF">
              <w:t>prendre</w:t>
            </w:r>
            <w:r w:rsidR="00806931" w:rsidRPr="007E3BAF">
              <w:t>(</w:t>
            </w:r>
            <w:proofErr w:type="gramEnd"/>
            <w:r w:rsidR="00806931" w:rsidRPr="007E3BAF">
              <w:t xml:space="preserve"> </w:t>
            </w:r>
          </w:p>
          <w:p w:rsidR="00806931" w:rsidRPr="007E3BAF" w:rsidRDefault="00806931" w:rsidP="00EB166E">
            <w:pPr>
              <w:jc w:val="both"/>
            </w:pPr>
          </w:p>
        </w:tc>
      </w:tr>
      <w:tr w:rsidR="00806931" w:rsidRPr="007E3BAF" w:rsidTr="007E3BAF">
        <w:trPr>
          <w:gridAfter w:val="1"/>
          <w:wAfter w:w="15134" w:type="dxa"/>
        </w:trPr>
        <w:tc>
          <w:tcPr>
            <w:tcW w:w="15134" w:type="dxa"/>
            <w:gridSpan w:val="3"/>
          </w:tcPr>
          <w:p w:rsidR="00806931" w:rsidRPr="007E3BAF" w:rsidRDefault="00806931" w:rsidP="00EB166E">
            <w:pPr>
              <w:jc w:val="both"/>
            </w:pPr>
            <w:r w:rsidRPr="007E3BAF">
              <w:t xml:space="preserve">Développer la présence du trial à la TV (rôle très important du service de marketing  qui continue </w:t>
            </w:r>
            <w:proofErr w:type="gramStart"/>
            <w:r w:rsidRPr="007E3BAF">
              <w:t>a</w:t>
            </w:r>
            <w:proofErr w:type="gramEnd"/>
            <w:r w:rsidRPr="007E3BAF">
              <w:t xml:space="preserve"> engager des actions pour augmenter cette audience</w:t>
            </w:r>
          </w:p>
        </w:tc>
      </w:tr>
      <w:tr w:rsidR="00806931" w:rsidRPr="007E3BAF" w:rsidTr="007E3BAF">
        <w:trPr>
          <w:gridAfter w:val="1"/>
          <w:wAfter w:w="15134" w:type="dxa"/>
        </w:trPr>
        <w:tc>
          <w:tcPr>
            <w:tcW w:w="15134" w:type="dxa"/>
            <w:gridSpan w:val="3"/>
          </w:tcPr>
          <w:p w:rsidR="00806931" w:rsidRPr="007E3BAF" w:rsidRDefault="00806931" w:rsidP="00806931">
            <w:r w:rsidRPr="007E3BAF">
              <w:t>Pérenniser l’action des professionnels sous contrat en leur confiant des missions de communication</w:t>
            </w:r>
            <w:r w:rsidR="00F12FBF" w:rsidRPr="007E3BAF">
              <w:t xml:space="preserve"> lors des manifestations</w:t>
            </w:r>
          </w:p>
          <w:p w:rsidR="00806931" w:rsidRPr="007E3BAF" w:rsidRDefault="00806931" w:rsidP="00EB166E">
            <w:pPr>
              <w:jc w:val="both"/>
            </w:pPr>
          </w:p>
        </w:tc>
      </w:tr>
      <w:tr w:rsidR="00806931" w:rsidRPr="007E3BAF" w:rsidTr="007E3BAF">
        <w:trPr>
          <w:gridAfter w:val="1"/>
          <w:wAfter w:w="15134" w:type="dxa"/>
        </w:trPr>
        <w:tc>
          <w:tcPr>
            <w:tcW w:w="15134" w:type="dxa"/>
            <w:gridSpan w:val="3"/>
          </w:tcPr>
          <w:p w:rsidR="00806931" w:rsidRPr="007E3BAF" w:rsidRDefault="00806931" w:rsidP="00806931">
            <w:r w:rsidRPr="007E3BAF">
              <w:t xml:space="preserve">Au niveau de la communication les actions entreprises doivent être amplifiées </w:t>
            </w:r>
            <w:r w:rsidR="00F12FBF" w:rsidRPr="007E3BAF">
              <w:t xml:space="preserve"> au niveau du site web et autres moyens similaires </w:t>
            </w:r>
            <w:r w:rsidRPr="007E3BAF">
              <w:t>(informations plus nombreuses et régulières et bien mises en évidence)</w:t>
            </w:r>
          </w:p>
          <w:p w:rsidR="00806931" w:rsidRPr="007E3BAF" w:rsidRDefault="00806931" w:rsidP="00EB166E">
            <w:pPr>
              <w:jc w:val="both"/>
            </w:pPr>
          </w:p>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 xml:space="preserve">Communiqués et informations adressés aux spécialistes de la presse et au sein des fédérations- Origine : CTR, </w:t>
            </w:r>
            <w:r w:rsidR="00F12FBF" w:rsidRPr="007E3BAF">
              <w:t xml:space="preserve">département de la communication, </w:t>
            </w:r>
            <w:r w:rsidRPr="007E3BAF">
              <w:t>agence de Presse</w:t>
            </w:r>
            <w:r w:rsidR="00F12FBF" w:rsidRPr="007E3BAF">
              <w:t xml:space="preserve"> de la CTR qui devrait agir au-delà du championnat</w:t>
            </w:r>
          </w:p>
          <w:p w:rsidR="00806931" w:rsidRPr="007E3BAF" w:rsidRDefault="00806931" w:rsidP="00EB166E">
            <w:pPr>
              <w:jc w:val="both"/>
            </w:pPr>
          </w:p>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 xml:space="preserve">Collaborer avec les promoteurs de manifestations originales </w:t>
            </w:r>
            <w:r w:rsidR="00F12FBF" w:rsidRPr="007E3BAF">
              <w:t xml:space="preserve">comme entre autres celles de </w:t>
            </w:r>
            <w:proofErr w:type="spellStart"/>
            <w:r w:rsidRPr="007E3BAF">
              <w:t>de</w:t>
            </w:r>
            <w:proofErr w:type="spellEnd"/>
            <w:r w:rsidRPr="007E3BAF">
              <w:t xml:space="preserve"> type randonnée</w:t>
            </w:r>
            <w:r w:rsidR="00F12FBF" w:rsidRPr="007E3BAF">
              <w:t xml:space="preserve"> dans certains pays </w:t>
            </w:r>
          </w:p>
          <w:p w:rsidR="00806931" w:rsidRPr="007E3BAF" w:rsidRDefault="00806931" w:rsidP="00806931">
            <w:pPr>
              <w:ind w:left="720"/>
              <w:jc w:val="both"/>
            </w:pPr>
          </w:p>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Organisation FIM une fois par an d’un regroupement international des écoles de trial.</w:t>
            </w:r>
          </w:p>
          <w:p w:rsidR="00806931" w:rsidRPr="007E3BAF" w:rsidRDefault="00806931" w:rsidP="00806931">
            <w:pPr>
              <w:ind w:left="720"/>
              <w:jc w:val="both"/>
            </w:pPr>
          </w:p>
        </w:tc>
      </w:tr>
      <w:tr w:rsidR="00806931" w:rsidRPr="007E3BAF" w:rsidTr="007E3BAF">
        <w:trPr>
          <w:gridAfter w:val="1"/>
          <w:wAfter w:w="15134" w:type="dxa"/>
        </w:trPr>
        <w:tc>
          <w:tcPr>
            <w:tcW w:w="15134" w:type="dxa"/>
            <w:gridSpan w:val="3"/>
          </w:tcPr>
          <w:p w:rsidR="00806931" w:rsidRPr="007E3BAF" w:rsidRDefault="00806931" w:rsidP="00F12FBF">
            <w:pPr>
              <w:pStyle w:val="Titre1"/>
              <w:outlineLvl w:val="0"/>
              <w:rPr>
                <w:rFonts w:asciiTheme="minorHAnsi" w:hAnsiTheme="minorHAnsi"/>
              </w:rPr>
            </w:pPr>
            <w:r w:rsidRPr="007E3BAF">
              <w:rPr>
                <w:rFonts w:asciiTheme="minorHAnsi" w:hAnsiTheme="minorHAnsi"/>
              </w:rPr>
              <w:t>Actions</w:t>
            </w:r>
            <w:r w:rsidR="00F12FBF" w:rsidRPr="007E3BAF">
              <w:rPr>
                <w:rFonts w:asciiTheme="minorHAnsi" w:hAnsiTheme="minorHAnsi"/>
              </w:rPr>
              <w:t xml:space="preserve"> au</w:t>
            </w:r>
            <w:r w:rsidRPr="007E3BAF">
              <w:rPr>
                <w:rFonts w:asciiTheme="minorHAnsi" w:hAnsiTheme="minorHAnsi"/>
              </w:rPr>
              <w:t xml:space="preserve">près </w:t>
            </w:r>
            <w:r w:rsidR="00F12FBF" w:rsidRPr="007E3BAF">
              <w:rPr>
                <w:rFonts w:asciiTheme="minorHAnsi" w:hAnsiTheme="minorHAnsi"/>
              </w:rPr>
              <w:t>et avec l</w:t>
            </w:r>
            <w:r w:rsidRPr="007E3BAF">
              <w:rPr>
                <w:rFonts w:asciiTheme="minorHAnsi" w:hAnsiTheme="minorHAnsi"/>
              </w:rPr>
              <w:t>es fédérations nationales</w:t>
            </w:r>
          </w:p>
          <w:p w:rsidR="00806931" w:rsidRPr="007E3BAF" w:rsidRDefault="00806931" w:rsidP="00DD4670">
            <w:pPr>
              <w:pStyle w:val="Titre2"/>
              <w:rPr>
                <w:rFonts w:asciiTheme="minorHAnsi" w:hAnsiTheme="minorHAnsi"/>
              </w:rPr>
            </w:pPr>
          </w:p>
        </w:tc>
      </w:tr>
      <w:tr w:rsidR="00806931" w:rsidRPr="007E3BAF" w:rsidTr="007E3BAF">
        <w:trPr>
          <w:gridAfter w:val="1"/>
          <w:wAfter w:w="15134" w:type="dxa"/>
        </w:trPr>
        <w:tc>
          <w:tcPr>
            <w:tcW w:w="15134" w:type="dxa"/>
            <w:gridSpan w:val="3"/>
          </w:tcPr>
          <w:p w:rsidR="00806931" w:rsidRPr="007E3BAF" w:rsidRDefault="00F12FBF" w:rsidP="00806931">
            <w:r w:rsidRPr="007E3BAF">
              <w:t>P</w:t>
            </w:r>
            <w:r w:rsidR="00806931" w:rsidRPr="007E3BAF">
              <w:t>rise de conscience des difficultés globales du trial</w:t>
            </w:r>
            <w:r w:rsidRPr="007E3BAF">
              <w:t xml:space="preserve"> est indispensable en se basant sur des données justes et pas émotionnelles </w:t>
            </w:r>
          </w:p>
          <w:p w:rsidR="00806931" w:rsidRPr="007E3BAF" w:rsidRDefault="00806931" w:rsidP="00806931"/>
        </w:tc>
      </w:tr>
      <w:tr w:rsidR="00F12FBF" w:rsidRPr="007E3BAF" w:rsidTr="007E3BAF">
        <w:trPr>
          <w:gridAfter w:val="1"/>
          <w:wAfter w:w="15134" w:type="dxa"/>
        </w:trPr>
        <w:tc>
          <w:tcPr>
            <w:tcW w:w="15134" w:type="dxa"/>
            <w:gridSpan w:val="3"/>
          </w:tcPr>
          <w:p w:rsidR="00F12FBF" w:rsidRPr="007E3BAF" w:rsidRDefault="00F12FBF" w:rsidP="00806931">
            <w:r w:rsidRPr="007E3BAF">
              <w:t>Améliorer vue la situation actuelle la position hiérarchique du trial dans les priorités sportives</w:t>
            </w:r>
          </w:p>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Correspond</w:t>
            </w:r>
            <w:r w:rsidR="00F12FBF" w:rsidRPr="007E3BAF">
              <w:t>ance aux fédérations exposant les détails de ce</w:t>
            </w:r>
            <w:r w:rsidRPr="007E3BAF">
              <w:t xml:space="preserve"> plan d’action</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lastRenderedPageBreak/>
              <w:t>Proposer des pistes de travail</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Recenser et répertorier les personnes sources dans les fédérations (membres des commissions, entraineurs, personnel fédéral en charge)</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pPr>
              <w:pStyle w:val="Paragraphedeliste"/>
              <w:jc w:val="both"/>
              <w:rPr>
                <w:rFonts w:asciiTheme="minorHAnsi" w:hAnsiTheme="minorHAnsi"/>
              </w:rPr>
            </w:pPr>
          </w:p>
          <w:p w:rsidR="00806931" w:rsidRPr="007E3BAF" w:rsidRDefault="00806931" w:rsidP="00806931">
            <w:pPr>
              <w:jc w:val="both"/>
            </w:pPr>
            <w:r w:rsidRPr="007E3BAF">
              <w:t>Partager avec les FMN pro actives des idées ou même des actions sur le terrain</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r w:rsidRPr="007E3BAF">
              <w:t>Donner des éléments pour augmenter la pr</w:t>
            </w:r>
            <w:r w:rsidR="007E3BAF" w:rsidRPr="007E3BAF">
              <w:t xml:space="preserve">ésence du trial sur les sites web et </w:t>
            </w:r>
            <w:r w:rsidRPr="007E3BAF">
              <w:t xml:space="preserve"> les revues fédérales</w:t>
            </w:r>
          </w:p>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Présence des FMN sur les sites de leurs grandes épreuves (actions de communication)</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Collaboration avec les FMN lorsque celles-ci sont présentes dans les grands salons de la moto : matériel de communication FIM fourni</w:t>
            </w:r>
            <w:r w:rsidR="00DD4670" w:rsidRPr="007E3BAF">
              <w:t>, action des représentants trial au sein des FMN</w:t>
            </w:r>
          </w:p>
          <w:p w:rsidR="00806931" w:rsidRPr="007E3BAF" w:rsidRDefault="00806931" w:rsidP="00806931">
            <w:pPr>
              <w:jc w:val="both"/>
            </w:pPr>
          </w:p>
        </w:tc>
      </w:tr>
      <w:tr w:rsidR="00806931" w:rsidRPr="007E3BAF" w:rsidTr="007E3BAF">
        <w:trPr>
          <w:gridAfter w:val="1"/>
          <w:wAfter w:w="15134" w:type="dxa"/>
        </w:trPr>
        <w:tc>
          <w:tcPr>
            <w:tcW w:w="15134" w:type="dxa"/>
            <w:gridSpan w:val="3"/>
          </w:tcPr>
          <w:p w:rsidR="00806931" w:rsidRPr="007E3BAF" w:rsidRDefault="00806931" w:rsidP="007E3BAF">
            <w:pPr>
              <w:pStyle w:val="Titre1"/>
              <w:rPr>
                <w:rFonts w:asciiTheme="minorHAnsi" w:hAnsiTheme="minorHAnsi"/>
              </w:rPr>
            </w:pPr>
            <w:r w:rsidRPr="007E3BAF">
              <w:rPr>
                <w:rFonts w:asciiTheme="minorHAnsi" w:hAnsiTheme="minorHAnsi"/>
              </w:rPr>
              <w:t>Presse et média</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Recenser et répertorier les personnes sources ou intéressées par le trial dans les divers supports</w:t>
            </w:r>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Etudier avec ces journalistes les difficultés pour la communication (trial en général, compétitions nationales et internationales</w:t>
            </w:r>
          </w:p>
        </w:tc>
      </w:tr>
      <w:tr w:rsidR="00806931" w:rsidRPr="007E3BAF" w:rsidTr="007E3BAF">
        <w:trPr>
          <w:gridAfter w:val="1"/>
          <w:wAfter w:w="15134" w:type="dxa"/>
        </w:trPr>
        <w:tc>
          <w:tcPr>
            <w:tcW w:w="15134" w:type="dxa"/>
            <w:gridSpan w:val="3"/>
          </w:tcPr>
          <w:p w:rsidR="00806931" w:rsidRPr="007E3BAF" w:rsidRDefault="00806931" w:rsidP="00806931">
            <w:pPr>
              <w:jc w:val="both"/>
            </w:pPr>
            <w:r w:rsidRPr="007E3BAF">
              <w:t xml:space="preserve">Etendre avec ces personnes et leur direction la communication sur le trial et étudier les moyens </w:t>
            </w:r>
            <w:proofErr w:type="spellStart"/>
            <w:r w:rsidRPr="007E3BAF">
              <w:t>necessaires</w:t>
            </w:r>
            <w:proofErr w:type="spellEnd"/>
          </w:p>
          <w:p w:rsidR="00806931" w:rsidRPr="007E3BAF" w:rsidRDefault="00806931" w:rsidP="00806931"/>
        </w:tc>
      </w:tr>
      <w:tr w:rsidR="00806931" w:rsidRPr="007E3BAF" w:rsidTr="007E3BAF">
        <w:trPr>
          <w:gridAfter w:val="1"/>
          <w:wAfter w:w="15134" w:type="dxa"/>
        </w:trPr>
        <w:tc>
          <w:tcPr>
            <w:tcW w:w="15134" w:type="dxa"/>
            <w:gridSpan w:val="3"/>
          </w:tcPr>
          <w:p w:rsidR="00806931" w:rsidRPr="007E3BAF" w:rsidRDefault="00806931" w:rsidP="007E3BAF">
            <w:pPr>
              <w:pStyle w:val="Titre1"/>
              <w:rPr>
                <w:rFonts w:asciiTheme="minorHAnsi" w:hAnsiTheme="minorHAnsi"/>
              </w:rPr>
            </w:pPr>
            <w:r w:rsidRPr="007E3BAF">
              <w:rPr>
                <w:rFonts w:asciiTheme="minorHAnsi" w:hAnsiTheme="minorHAnsi"/>
              </w:rPr>
              <w:t>Action auprès de l’industrie</w:t>
            </w:r>
          </w:p>
          <w:p w:rsidR="00806931" w:rsidRPr="007E3BAF" w:rsidRDefault="00806931" w:rsidP="00806931">
            <w:pPr>
              <w:jc w:val="both"/>
            </w:pPr>
          </w:p>
        </w:tc>
      </w:tr>
      <w:tr w:rsidR="00806931" w:rsidRPr="007E3BAF" w:rsidTr="007E3BAF">
        <w:trPr>
          <w:gridAfter w:val="1"/>
          <w:wAfter w:w="15134" w:type="dxa"/>
        </w:trPr>
        <w:tc>
          <w:tcPr>
            <w:tcW w:w="15134" w:type="dxa"/>
            <w:gridSpan w:val="3"/>
          </w:tcPr>
          <w:p w:rsidR="00806931" w:rsidRPr="007E3BAF" w:rsidRDefault="00806931" w:rsidP="00806931">
            <w:r w:rsidRPr="007E3BAF">
              <w:t>Lors des épreuves importantes, favoriser,  en relation avec l’organisateur, un concessionnaire ou un importateur des présentations de machines, essais, animations festives autour de la moto de trial, rencontres avec les champions, etc.</w:t>
            </w:r>
          </w:p>
          <w:p w:rsidR="00806931" w:rsidRPr="007E3BAF" w:rsidRDefault="00806931" w:rsidP="00806931">
            <w:pPr>
              <w:jc w:val="both"/>
            </w:pPr>
          </w:p>
        </w:tc>
      </w:tr>
      <w:tr w:rsidR="00806931" w:rsidRPr="007E3BAF" w:rsidTr="007E3BAF">
        <w:trPr>
          <w:gridAfter w:val="1"/>
          <w:wAfter w:w="15134" w:type="dxa"/>
        </w:trPr>
        <w:tc>
          <w:tcPr>
            <w:tcW w:w="15134" w:type="dxa"/>
            <w:gridSpan w:val="3"/>
          </w:tcPr>
          <w:p w:rsidR="00806931" w:rsidRPr="007E3BAF" w:rsidRDefault="00806931" w:rsidP="00806931">
            <w:r w:rsidRPr="007E3BAF">
              <w:t xml:space="preserve">Créer sous leur nom des évènements de communication commerciale et sportive en s’appuyant sur leurs importateurs, concessionnaires éventuellement sur des clubs </w:t>
            </w:r>
          </w:p>
          <w:p w:rsidR="00806931" w:rsidRPr="007E3BAF" w:rsidRDefault="00806931" w:rsidP="00806931">
            <w:pPr>
              <w:jc w:val="both"/>
            </w:pPr>
          </w:p>
        </w:tc>
      </w:tr>
      <w:tr w:rsidR="00806931" w:rsidRPr="007E3BAF" w:rsidTr="007E3BAF">
        <w:trPr>
          <w:gridAfter w:val="1"/>
          <w:wAfter w:w="15134" w:type="dxa"/>
        </w:trPr>
        <w:tc>
          <w:tcPr>
            <w:tcW w:w="15134" w:type="dxa"/>
            <w:gridSpan w:val="3"/>
          </w:tcPr>
          <w:p w:rsidR="00806931" w:rsidRPr="007E3BAF" w:rsidRDefault="00806931" w:rsidP="00806931">
            <w:r w:rsidRPr="007E3BAF">
              <w:t>Rappeler les propositions de la plateforme de communication proposée par le département marketing</w:t>
            </w:r>
          </w:p>
          <w:p w:rsidR="00806931" w:rsidRPr="007E3BAF" w:rsidRDefault="00806931" w:rsidP="00806931">
            <w:pPr>
              <w:jc w:val="both"/>
            </w:pPr>
          </w:p>
        </w:tc>
      </w:tr>
      <w:tr w:rsidR="00806931" w:rsidRPr="007E3BAF" w:rsidTr="007E3BAF">
        <w:trPr>
          <w:gridAfter w:val="1"/>
          <w:wAfter w:w="15134" w:type="dxa"/>
        </w:trPr>
        <w:tc>
          <w:tcPr>
            <w:tcW w:w="15134" w:type="dxa"/>
            <w:gridSpan w:val="3"/>
          </w:tcPr>
          <w:p w:rsidR="00DD4670" w:rsidRPr="007E3BAF" w:rsidRDefault="00DD4670" w:rsidP="00AC0B65">
            <w:pPr>
              <w:pStyle w:val="Titre1"/>
              <w:jc w:val="center"/>
              <w:outlineLvl w:val="0"/>
              <w:rPr>
                <w:rFonts w:asciiTheme="minorHAnsi" w:hAnsiTheme="minorHAnsi"/>
                <w:sz w:val="52"/>
                <w:szCs w:val="52"/>
              </w:rPr>
            </w:pPr>
            <w:r w:rsidRPr="007E3BAF">
              <w:rPr>
                <w:rFonts w:asciiTheme="minorHAnsi" w:hAnsiTheme="minorHAnsi"/>
                <w:sz w:val="52"/>
                <w:szCs w:val="52"/>
              </w:rPr>
              <w:lastRenderedPageBreak/>
              <w:t>Elargir la base des pratiquants</w:t>
            </w:r>
          </w:p>
          <w:p w:rsidR="00806931" w:rsidRPr="007E3BAF" w:rsidRDefault="00806931" w:rsidP="00806931">
            <w:pPr>
              <w:rPr>
                <w:sz w:val="52"/>
                <w:szCs w:val="52"/>
              </w:rPr>
            </w:pPr>
          </w:p>
        </w:tc>
      </w:tr>
      <w:tr w:rsidR="00DD4670" w:rsidRPr="007E3BAF" w:rsidTr="007E3BAF">
        <w:trPr>
          <w:gridAfter w:val="1"/>
          <w:wAfter w:w="15134" w:type="dxa"/>
        </w:trPr>
        <w:tc>
          <w:tcPr>
            <w:tcW w:w="7567" w:type="dxa"/>
            <w:gridSpan w:val="2"/>
          </w:tcPr>
          <w:p w:rsidR="00DD4670" w:rsidRPr="007E3BAF" w:rsidRDefault="00DD4670" w:rsidP="00DD4670">
            <w:pPr>
              <w:pStyle w:val="Titre2"/>
              <w:rPr>
                <w:rFonts w:asciiTheme="minorHAnsi" w:hAnsiTheme="minorHAnsi"/>
              </w:rPr>
            </w:pPr>
            <w:r w:rsidRPr="007E3BAF">
              <w:rPr>
                <w:rFonts w:asciiTheme="minorHAnsi" w:hAnsiTheme="minorHAnsi"/>
              </w:rPr>
              <w:t xml:space="preserve">Action de la FIM   </w:t>
            </w:r>
          </w:p>
          <w:p w:rsidR="00DD4670" w:rsidRPr="007E3BAF" w:rsidRDefault="00DD4670" w:rsidP="00DD4670"/>
        </w:tc>
        <w:tc>
          <w:tcPr>
            <w:tcW w:w="7567" w:type="dxa"/>
          </w:tcPr>
          <w:p w:rsidR="00DD4670" w:rsidRPr="007E3BAF" w:rsidRDefault="00DD4670" w:rsidP="00DD4670">
            <w:pPr>
              <w:pStyle w:val="Titre2"/>
              <w:outlineLvl w:val="1"/>
              <w:rPr>
                <w:rFonts w:asciiTheme="minorHAnsi" w:hAnsiTheme="minorHAnsi"/>
              </w:rPr>
            </w:pPr>
            <w:r w:rsidRPr="007E3BAF">
              <w:rPr>
                <w:rFonts w:asciiTheme="minorHAnsi" w:hAnsiTheme="minorHAnsi"/>
              </w:rPr>
              <w:t>remarques</w:t>
            </w:r>
          </w:p>
          <w:p w:rsidR="00DD4670" w:rsidRDefault="00DD4670" w:rsidP="00070D71">
            <w:pPr>
              <w:pStyle w:val="Paragraphedeliste"/>
              <w:numPr>
                <w:ilvl w:val="0"/>
                <w:numId w:val="15"/>
              </w:numPr>
            </w:pPr>
            <w:r w:rsidRPr="007E3BAF">
              <w:t>L</w:t>
            </w:r>
            <w:r w:rsidR="007E3BAF" w:rsidRPr="007E3BAF">
              <w:t xml:space="preserve">a diminution de la </w:t>
            </w:r>
            <w:r w:rsidRPr="007E3BAF">
              <w:t xml:space="preserve"> base des pratiquants  est un problème global du trial où les actions des FMN et de leurs représentations régionales sont primordiales</w:t>
            </w:r>
            <w:r w:rsidR="007E3BAF" w:rsidRPr="007E3BAF">
              <w:t>. A part des directives, la CTR n’a que peu de moyens d’intervention dans ce secteur</w:t>
            </w:r>
          </w:p>
          <w:p w:rsidR="00070D71" w:rsidRPr="007E3BAF" w:rsidRDefault="00070D71" w:rsidP="00070D71">
            <w:pPr>
              <w:pStyle w:val="Paragraphedeliste"/>
              <w:numPr>
                <w:ilvl w:val="0"/>
                <w:numId w:val="14"/>
              </w:numPr>
              <w:rPr>
                <w:rFonts w:asciiTheme="minorHAnsi" w:hAnsiTheme="minorHAnsi"/>
              </w:rPr>
            </w:pPr>
            <w:r>
              <w:t>La faiblesse du marché de la moto de trial est essentiellement due à la faiblesse de la demande car les pratiquants ne disposent pas d’espaces où ils peuvent rouler en toute légalité</w:t>
            </w:r>
          </w:p>
        </w:tc>
      </w:tr>
      <w:tr w:rsidR="00806931" w:rsidRPr="007E3BAF" w:rsidTr="007E3BAF">
        <w:trPr>
          <w:gridAfter w:val="1"/>
          <w:wAfter w:w="15134" w:type="dxa"/>
        </w:trPr>
        <w:tc>
          <w:tcPr>
            <w:tcW w:w="15134" w:type="dxa"/>
            <w:gridSpan w:val="3"/>
          </w:tcPr>
          <w:p w:rsidR="00806931" w:rsidRPr="007E3BAF" w:rsidRDefault="00DD4670" w:rsidP="00806931">
            <w:pPr>
              <w:jc w:val="both"/>
            </w:pPr>
            <w:r w:rsidRPr="007E3BAF">
              <w:t>Avoir un politique d’établissement du calendrier outre mer qui garantisse une bonne communication autour du trial grâce aux organisateurs et aux fédérations et aux importateurs. Connaissance de l’importance du marché</w:t>
            </w:r>
          </w:p>
        </w:tc>
      </w:tr>
      <w:tr w:rsidR="00E500F1" w:rsidRPr="007E3BAF" w:rsidTr="007E3BAF">
        <w:trPr>
          <w:gridAfter w:val="1"/>
          <w:wAfter w:w="15134" w:type="dxa"/>
        </w:trPr>
        <w:tc>
          <w:tcPr>
            <w:tcW w:w="7567" w:type="dxa"/>
            <w:gridSpan w:val="2"/>
          </w:tcPr>
          <w:p w:rsidR="00E500F1" w:rsidRPr="007E3BAF" w:rsidRDefault="00E500F1" w:rsidP="00DD4670">
            <w:pPr>
              <w:pStyle w:val="Titre2"/>
              <w:outlineLvl w:val="1"/>
              <w:rPr>
                <w:rFonts w:asciiTheme="minorHAnsi" w:hAnsiTheme="minorHAnsi"/>
              </w:rPr>
            </w:pPr>
            <w:r w:rsidRPr="007E3BAF">
              <w:rPr>
                <w:rFonts w:asciiTheme="minorHAnsi" w:hAnsiTheme="minorHAnsi"/>
              </w:rPr>
              <w:t>Actions</w:t>
            </w:r>
            <w:r w:rsidR="007E3BAF" w:rsidRPr="007E3BAF">
              <w:rPr>
                <w:rFonts w:asciiTheme="minorHAnsi" w:hAnsiTheme="minorHAnsi"/>
              </w:rPr>
              <w:t xml:space="preserve"> au près et avec l</w:t>
            </w:r>
            <w:r w:rsidRPr="007E3BAF">
              <w:rPr>
                <w:rFonts w:asciiTheme="minorHAnsi" w:hAnsiTheme="minorHAnsi"/>
              </w:rPr>
              <w:t>es fédérations nationales</w:t>
            </w:r>
          </w:p>
        </w:tc>
        <w:tc>
          <w:tcPr>
            <w:tcW w:w="7567" w:type="dxa"/>
          </w:tcPr>
          <w:p w:rsidR="00E500F1" w:rsidRPr="007E3BAF" w:rsidRDefault="00E500F1" w:rsidP="00806931">
            <w:pPr>
              <w:jc w:val="both"/>
            </w:pPr>
            <w:r w:rsidRPr="007E3BAF">
              <w:t>La CTR ne peut s’</w:t>
            </w:r>
            <w:r w:rsidR="007E3BAF" w:rsidRPr="007E3BAF">
              <w:t>immiscer</w:t>
            </w:r>
            <w:r w:rsidRPr="007E3BAF">
              <w:t xml:space="preserve"> dans le travail des fédérations, mais une collaboration peut se développer autour de certains axes</w:t>
            </w:r>
          </w:p>
        </w:tc>
      </w:tr>
      <w:tr w:rsidR="00DD4670" w:rsidRPr="007E3BAF" w:rsidTr="007E3BAF">
        <w:trPr>
          <w:gridAfter w:val="1"/>
          <w:wAfter w:w="15134" w:type="dxa"/>
        </w:trPr>
        <w:tc>
          <w:tcPr>
            <w:tcW w:w="15134" w:type="dxa"/>
            <w:gridSpan w:val="3"/>
          </w:tcPr>
          <w:p w:rsidR="00DD4670" w:rsidRPr="007E3BAF" w:rsidRDefault="00DD4670" w:rsidP="00DD4670">
            <w:r w:rsidRPr="007E3BAF">
              <w:t>Analyse des initiatives déjà entreprises  avec succès au sein de chaque FMN et en diffuser pour information et harmonisation les idées principales</w:t>
            </w:r>
          </w:p>
          <w:p w:rsidR="00DD4670" w:rsidRPr="007E3BAF" w:rsidRDefault="00DD4670" w:rsidP="00806931">
            <w:pPr>
              <w:jc w:val="both"/>
            </w:pPr>
          </w:p>
        </w:tc>
      </w:tr>
      <w:tr w:rsidR="007E3BAF" w:rsidRPr="007E3BAF" w:rsidTr="007E3BAF">
        <w:trPr>
          <w:gridAfter w:val="1"/>
          <w:wAfter w:w="15134" w:type="dxa"/>
        </w:trPr>
        <w:tc>
          <w:tcPr>
            <w:tcW w:w="15134" w:type="dxa"/>
            <w:gridSpan w:val="3"/>
          </w:tcPr>
          <w:p w:rsidR="007E3BAF" w:rsidRDefault="007E3BAF" w:rsidP="00DD4670">
            <w:r>
              <w:t>Etude objective des statistiques obéissant à des critères communs pour chaque secteur</w:t>
            </w:r>
          </w:p>
          <w:p w:rsidR="00087858" w:rsidRPr="007E3BAF" w:rsidRDefault="00087858" w:rsidP="00DD4670"/>
        </w:tc>
      </w:tr>
      <w:tr w:rsidR="00DD4670" w:rsidRPr="007E3BAF" w:rsidTr="007E3BAF">
        <w:trPr>
          <w:gridAfter w:val="1"/>
          <w:wAfter w:w="15134" w:type="dxa"/>
        </w:trPr>
        <w:tc>
          <w:tcPr>
            <w:tcW w:w="15134" w:type="dxa"/>
            <w:gridSpan w:val="3"/>
          </w:tcPr>
          <w:p w:rsidR="00DD4670" w:rsidRPr="007E3BAF" w:rsidRDefault="00DD4670" w:rsidP="00DD4670">
            <w:r w:rsidRPr="007E3BAF">
              <w:t>Formation d’éducateurs sportifs spécialisés dans le trial (existence, statistiques, référentiels d’éducation, brevets officiels etc.)</w:t>
            </w:r>
          </w:p>
          <w:p w:rsidR="00DD4670" w:rsidRPr="007E3BAF" w:rsidRDefault="00DD4670" w:rsidP="00806931">
            <w:pPr>
              <w:jc w:val="both"/>
            </w:pPr>
          </w:p>
        </w:tc>
      </w:tr>
      <w:tr w:rsidR="00DD4670" w:rsidRPr="007E3BAF" w:rsidTr="007E3BAF">
        <w:trPr>
          <w:gridAfter w:val="1"/>
          <w:wAfter w:w="15134" w:type="dxa"/>
        </w:trPr>
        <w:tc>
          <w:tcPr>
            <w:tcW w:w="15134" w:type="dxa"/>
            <w:gridSpan w:val="3"/>
          </w:tcPr>
          <w:p w:rsidR="007E3BAF" w:rsidRDefault="00DD4670" w:rsidP="00806931">
            <w:pPr>
              <w:jc w:val="both"/>
            </w:pPr>
            <w:r w:rsidRPr="007E3BAF">
              <w:t>Actions ayant pu être entreprises par des organismes sportifs non affiliés à la fédération nationale.</w:t>
            </w:r>
          </w:p>
          <w:p w:rsidR="00DD4670" w:rsidRDefault="00DD4670" w:rsidP="00806931">
            <w:pPr>
              <w:jc w:val="both"/>
            </w:pPr>
            <w:r w:rsidRPr="007E3BAF">
              <w:t xml:space="preserve"> Y a-t-il des passerelles ou des actions communes </w:t>
            </w:r>
            <w:r w:rsidR="00E500F1" w:rsidRPr="007E3BAF">
              <w:t>envisageables sans heurts pouvant déboucher sur une collaboration plutôt que de vaines querelles</w:t>
            </w:r>
            <w:r w:rsidR="00FD5B96">
              <w:t> </w:t>
            </w:r>
            <w:r w:rsidR="00E500F1" w:rsidRPr="007E3BAF">
              <w:t>?</w:t>
            </w:r>
          </w:p>
          <w:p w:rsidR="00087858" w:rsidRPr="007E3BAF" w:rsidRDefault="00087858" w:rsidP="00806931">
            <w:pPr>
              <w:jc w:val="both"/>
            </w:pPr>
          </w:p>
        </w:tc>
      </w:tr>
      <w:tr w:rsidR="00E500F1" w:rsidRPr="007E3BAF" w:rsidTr="007E3BAF">
        <w:trPr>
          <w:gridAfter w:val="1"/>
          <w:wAfter w:w="15134" w:type="dxa"/>
        </w:trPr>
        <w:tc>
          <w:tcPr>
            <w:tcW w:w="15134" w:type="dxa"/>
            <w:gridSpan w:val="3"/>
          </w:tcPr>
          <w:p w:rsidR="00E500F1" w:rsidRDefault="00E500F1" w:rsidP="00806931">
            <w:pPr>
              <w:jc w:val="both"/>
            </w:pPr>
            <w:r w:rsidRPr="007E3BAF">
              <w:t xml:space="preserve">Inciter les fédérations a favoriser les initiatives proposant des alternatives ou des variantes aux règles de base du trial </w:t>
            </w:r>
            <w:r w:rsidR="007E3BAF">
              <w:t xml:space="preserve">qui sont </w:t>
            </w:r>
            <w:r w:rsidRPr="007E3BAF">
              <w:t xml:space="preserve">décrites dans les codes de la FIM </w:t>
            </w:r>
            <w:proofErr w:type="gramStart"/>
            <w:r w:rsidRPr="007E3BAF">
              <w:t xml:space="preserve">( </w:t>
            </w:r>
            <w:r w:rsidR="007E3BAF">
              <w:t>par</w:t>
            </w:r>
            <w:proofErr w:type="gramEnd"/>
            <w:r w:rsidR="007E3BAF">
              <w:t xml:space="preserve"> exemple</w:t>
            </w:r>
            <w:r w:rsidR="00FD5B96">
              <w:t> </w:t>
            </w:r>
            <w:r w:rsidR="007E3BAF">
              <w:t xml:space="preserve">: </w:t>
            </w:r>
            <w:r w:rsidRPr="007E3BAF">
              <w:t xml:space="preserve"> trial classique – trial urbain – speed trial –open free, </w:t>
            </w:r>
            <w:proofErr w:type="spellStart"/>
            <w:r w:rsidRPr="007E3BAF">
              <w:t>etc</w:t>
            </w:r>
            <w:proofErr w:type="spellEnd"/>
            <w:r w:rsidRPr="007E3BAF">
              <w:t>). Ces variantes sont très médiatisées et attractives</w:t>
            </w:r>
          </w:p>
          <w:p w:rsidR="00087858" w:rsidRPr="007E3BAF" w:rsidRDefault="00087858" w:rsidP="00806931">
            <w:pPr>
              <w:jc w:val="both"/>
            </w:pPr>
          </w:p>
        </w:tc>
      </w:tr>
      <w:tr w:rsidR="00E500F1" w:rsidRPr="007E3BAF" w:rsidTr="007E3BAF">
        <w:trPr>
          <w:gridAfter w:val="1"/>
          <w:wAfter w:w="15134" w:type="dxa"/>
        </w:trPr>
        <w:tc>
          <w:tcPr>
            <w:tcW w:w="15134" w:type="dxa"/>
            <w:gridSpan w:val="3"/>
          </w:tcPr>
          <w:p w:rsidR="00E500F1" w:rsidRDefault="00E500F1" w:rsidP="007E3BAF">
            <w:r w:rsidRPr="007E3BAF">
              <w:t>Favoriser les compétitions  ou rencontres hors championnat ayant des règlements et horaires plus souples</w:t>
            </w:r>
          </w:p>
          <w:p w:rsidR="00087858" w:rsidRPr="007E3BAF" w:rsidRDefault="00087858" w:rsidP="007E3BAF"/>
        </w:tc>
      </w:tr>
      <w:tr w:rsidR="00E500F1" w:rsidRPr="007E3BAF" w:rsidTr="007E3BAF">
        <w:trPr>
          <w:gridAfter w:val="1"/>
          <w:wAfter w:w="15134" w:type="dxa"/>
        </w:trPr>
        <w:tc>
          <w:tcPr>
            <w:tcW w:w="15134" w:type="dxa"/>
            <w:gridSpan w:val="3"/>
          </w:tcPr>
          <w:p w:rsidR="007E3BAF" w:rsidRDefault="00E500F1" w:rsidP="007E3BAF">
            <w:r w:rsidRPr="007E3BAF">
              <w:t xml:space="preserve">Inciter les traceurs de sections a </w:t>
            </w:r>
            <w:proofErr w:type="gramStart"/>
            <w:r w:rsidRPr="007E3BAF">
              <w:t>créer</w:t>
            </w:r>
            <w:proofErr w:type="gramEnd"/>
            <w:r w:rsidRPr="007E3BAF">
              <w:t xml:space="preserve"> des parcours roulants et « dynamiques ». </w:t>
            </w:r>
          </w:p>
          <w:p w:rsidR="00087858" w:rsidRDefault="00E500F1" w:rsidP="007E3BAF">
            <w:r w:rsidRPr="007E3BAF">
              <w:t xml:space="preserve">Recueil d’instructions pratiques </w:t>
            </w:r>
            <w:r w:rsidR="00087858">
              <w:t xml:space="preserve">(communs à tous les pays) </w:t>
            </w:r>
            <w:r w:rsidRPr="007E3BAF">
              <w:t>allant au-delà de la simple expérience</w:t>
            </w:r>
          </w:p>
          <w:p w:rsidR="00E500F1" w:rsidRPr="007E3BAF" w:rsidRDefault="00E500F1" w:rsidP="007E3BAF">
            <w:r w:rsidRPr="007E3BAF">
              <w:t xml:space="preserve"> </w:t>
            </w:r>
          </w:p>
        </w:tc>
      </w:tr>
      <w:tr w:rsidR="00E500F1" w:rsidRPr="007E3BAF" w:rsidTr="007E3BAF">
        <w:trPr>
          <w:gridAfter w:val="1"/>
          <w:wAfter w:w="15134" w:type="dxa"/>
        </w:trPr>
        <w:tc>
          <w:tcPr>
            <w:tcW w:w="15134" w:type="dxa"/>
            <w:gridSpan w:val="3"/>
          </w:tcPr>
          <w:p w:rsidR="00E500F1" w:rsidRDefault="00E500F1" w:rsidP="00E500F1">
            <w:r w:rsidRPr="007E3BAF">
              <w:t>Travail avec les autorités sportives régionales sur des manifestations a caractère non sportif ou compétions hors championnat</w:t>
            </w:r>
          </w:p>
          <w:p w:rsidR="00087858" w:rsidRPr="007E3BAF" w:rsidRDefault="00087858" w:rsidP="00E500F1"/>
        </w:tc>
      </w:tr>
      <w:tr w:rsidR="00E500F1" w:rsidRPr="007E3BAF" w:rsidTr="007E3BAF">
        <w:trPr>
          <w:gridAfter w:val="1"/>
          <w:wAfter w:w="15134" w:type="dxa"/>
        </w:trPr>
        <w:tc>
          <w:tcPr>
            <w:tcW w:w="15134" w:type="dxa"/>
            <w:gridSpan w:val="3"/>
          </w:tcPr>
          <w:p w:rsidR="00E500F1" w:rsidRDefault="00E500F1" w:rsidP="00E500F1">
            <w:r w:rsidRPr="007E3BAF">
              <w:t xml:space="preserve">L’existence des stages d’entrainement (fédéraux ou privés) doit être développée et soutenue par les fédérations </w:t>
            </w:r>
          </w:p>
          <w:p w:rsidR="00087858" w:rsidRPr="007E3BAF" w:rsidRDefault="00087858" w:rsidP="00E500F1"/>
        </w:tc>
      </w:tr>
      <w:tr w:rsidR="00E500F1" w:rsidRPr="007E3BAF" w:rsidTr="007E3BAF">
        <w:trPr>
          <w:gridAfter w:val="1"/>
          <w:wAfter w:w="15134" w:type="dxa"/>
        </w:trPr>
        <w:tc>
          <w:tcPr>
            <w:tcW w:w="15134" w:type="dxa"/>
            <w:gridSpan w:val="3"/>
          </w:tcPr>
          <w:p w:rsidR="00E500F1" w:rsidRPr="007E3BAF" w:rsidRDefault="00E500F1" w:rsidP="00E500F1">
            <w:r w:rsidRPr="007E3BAF">
              <w:t xml:space="preserve">Inciter les fédérations </w:t>
            </w:r>
            <w:proofErr w:type="gramStart"/>
            <w:r w:rsidRPr="007E3BAF">
              <w:t>a</w:t>
            </w:r>
            <w:proofErr w:type="gramEnd"/>
            <w:r w:rsidRPr="007E3BAF">
              <w:t xml:space="preserve"> faire des stages de regroupement  pour tous les niveaux</w:t>
            </w:r>
          </w:p>
          <w:p w:rsidR="00E500F1" w:rsidRPr="007E3BAF" w:rsidRDefault="00E500F1" w:rsidP="00E500F1"/>
        </w:tc>
      </w:tr>
      <w:tr w:rsidR="00E500F1" w:rsidRPr="007E3BAF" w:rsidTr="007E3BAF">
        <w:trPr>
          <w:gridAfter w:val="1"/>
          <w:wAfter w:w="15134" w:type="dxa"/>
        </w:trPr>
        <w:tc>
          <w:tcPr>
            <w:tcW w:w="15134" w:type="dxa"/>
            <w:gridSpan w:val="3"/>
          </w:tcPr>
          <w:p w:rsidR="00E500F1" w:rsidRPr="007E3BAF" w:rsidRDefault="00E500F1" w:rsidP="00E500F1">
            <w:r w:rsidRPr="007E3BAF">
              <w:lastRenderedPageBreak/>
              <w:t>Importance des catégories pour les jeunes et pour les féminines</w:t>
            </w:r>
            <w:r w:rsidR="00FD5B96">
              <w:t> </w:t>
            </w:r>
            <w:r w:rsidRPr="007E3BAF">
              <w:t xml:space="preserve">; y a-t-il une offre de loisir suffisante en dehors de la </w:t>
            </w:r>
            <w:r w:rsidR="00087858">
              <w:t>comp</w:t>
            </w:r>
            <w:r w:rsidR="00087858" w:rsidRPr="007E3BAF">
              <w:t>éti</w:t>
            </w:r>
            <w:r w:rsidR="00087858">
              <w:t>ti</w:t>
            </w:r>
            <w:r w:rsidR="00087858" w:rsidRPr="007E3BAF">
              <w:t>on</w:t>
            </w:r>
            <w:r w:rsidR="00FD5B96">
              <w:t> </w:t>
            </w:r>
            <w:r w:rsidRPr="007E3BAF">
              <w:t>?</w:t>
            </w:r>
          </w:p>
          <w:p w:rsidR="00E500F1" w:rsidRPr="007E3BAF" w:rsidRDefault="00E500F1" w:rsidP="00806931">
            <w:pPr>
              <w:jc w:val="both"/>
            </w:pPr>
          </w:p>
        </w:tc>
      </w:tr>
      <w:tr w:rsidR="00E500F1" w:rsidRPr="007E3BAF" w:rsidTr="007E3BAF">
        <w:trPr>
          <w:gridAfter w:val="1"/>
          <w:wAfter w:w="15134" w:type="dxa"/>
        </w:trPr>
        <w:tc>
          <w:tcPr>
            <w:tcW w:w="15134" w:type="dxa"/>
            <w:gridSpan w:val="3"/>
          </w:tcPr>
          <w:p w:rsidR="00E500F1" w:rsidRPr="007E3BAF" w:rsidRDefault="00E500F1" w:rsidP="00087858">
            <w:pPr>
              <w:pStyle w:val="Titre1"/>
            </w:pPr>
            <w:r w:rsidRPr="007E3BAF">
              <w:t>Action auprès de l’industrie</w:t>
            </w:r>
          </w:p>
          <w:p w:rsidR="00E500F1" w:rsidRPr="007E3BAF" w:rsidRDefault="00E500F1" w:rsidP="00806931">
            <w:pPr>
              <w:jc w:val="both"/>
            </w:pPr>
          </w:p>
        </w:tc>
      </w:tr>
      <w:tr w:rsidR="00E500F1" w:rsidRPr="007E3BAF" w:rsidTr="007E3BAF">
        <w:trPr>
          <w:gridAfter w:val="1"/>
          <w:wAfter w:w="15134" w:type="dxa"/>
        </w:trPr>
        <w:tc>
          <w:tcPr>
            <w:tcW w:w="15134" w:type="dxa"/>
            <w:gridSpan w:val="3"/>
          </w:tcPr>
          <w:p w:rsidR="00E500F1" w:rsidRPr="007E3BAF" w:rsidRDefault="00E500F1" w:rsidP="000B5647">
            <w:r w:rsidRPr="007E3BAF">
              <w:t>Nécessité de présenter des modè</w:t>
            </w:r>
            <w:r w:rsidR="000B5647" w:rsidRPr="007E3BAF">
              <w:t xml:space="preserve">les de base et peu sophistiqués </w:t>
            </w:r>
          </w:p>
          <w:p w:rsidR="00E500F1" w:rsidRPr="007E3BAF" w:rsidRDefault="00E500F1" w:rsidP="00806931">
            <w:pPr>
              <w:jc w:val="both"/>
            </w:pPr>
          </w:p>
        </w:tc>
      </w:tr>
      <w:tr w:rsidR="00FD5B96" w:rsidRPr="007E3BAF" w:rsidTr="007E3BAF">
        <w:trPr>
          <w:gridAfter w:val="1"/>
          <w:wAfter w:w="15134" w:type="dxa"/>
        </w:trPr>
        <w:tc>
          <w:tcPr>
            <w:tcW w:w="15134" w:type="dxa"/>
            <w:gridSpan w:val="3"/>
          </w:tcPr>
          <w:p w:rsidR="00FD5B96" w:rsidRPr="007E3BAF" w:rsidRDefault="00FD5B96" w:rsidP="000B5647">
            <w:r>
              <w:t>Proposer des motos un peu moins spécialisées et réellement conformes à la législation routière.</w:t>
            </w:r>
          </w:p>
        </w:tc>
      </w:tr>
      <w:tr w:rsidR="000B5647" w:rsidRPr="007E3BAF" w:rsidTr="007E3BAF">
        <w:trPr>
          <w:gridAfter w:val="1"/>
          <w:wAfter w:w="15134" w:type="dxa"/>
        </w:trPr>
        <w:tc>
          <w:tcPr>
            <w:tcW w:w="15134" w:type="dxa"/>
            <w:gridSpan w:val="3"/>
          </w:tcPr>
          <w:p w:rsidR="000B5647" w:rsidRDefault="000B5647" w:rsidP="000B5647">
            <w:r w:rsidRPr="007E3BAF">
              <w:t>Malgré la faiblesse du marché proposer un choix de petites cylindrées</w:t>
            </w:r>
          </w:p>
          <w:p w:rsidR="00087858" w:rsidRPr="007E3BAF" w:rsidRDefault="00087858" w:rsidP="000B5647"/>
        </w:tc>
      </w:tr>
      <w:tr w:rsidR="007E3BAF" w:rsidRPr="007E3BAF" w:rsidTr="007E3BAF">
        <w:tc>
          <w:tcPr>
            <w:tcW w:w="15134" w:type="dxa"/>
            <w:gridSpan w:val="3"/>
          </w:tcPr>
          <w:p w:rsidR="007E3BAF" w:rsidRPr="007E3BAF" w:rsidRDefault="007E3BAF" w:rsidP="000B5647">
            <w:r w:rsidRPr="007E3BAF">
              <w:t>Participation de l’industrie (fabricants ou importateurs ou concessionnaires) aux activités orientées vers le grand public (salons, journées portes ouvertes, possibilité d’essais sur les épreuves populaires, présence sur les manifestations etc.)</w:t>
            </w:r>
          </w:p>
          <w:p w:rsidR="007E3BAF" w:rsidRPr="007E3BAF" w:rsidRDefault="007E3BAF" w:rsidP="00806931">
            <w:pPr>
              <w:jc w:val="both"/>
            </w:pPr>
          </w:p>
        </w:tc>
        <w:tc>
          <w:tcPr>
            <w:tcW w:w="15134" w:type="dxa"/>
          </w:tcPr>
          <w:p w:rsidR="007E3BAF" w:rsidRPr="007E3BAF" w:rsidRDefault="007E3BAF" w:rsidP="001E26CF">
            <w:r>
              <w:t>Etude objective des statistiques obéissant à des critères communs pour chaque secteur</w:t>
            </w:r>
          </w:p>
        </w:tc>
      </w:tr>
      <w:tr w:rsidR="007E3BAF" w:rsidRPr="007E3BAF" w:rsidTr="007E3BAF">
        <w:trPr>
          <w:gridAfter w:val="1"/>
          <w:wAfter w:w="15134" w:type="dxa"/>
        </w:trPr>
        <w:tc>
          <w:tcPr>
            <w:tcW w:w="15134" w:type="dxa"/>
            <w:gridSpan w:val="3"/>
          </w:tcPr>
          <w:p w:rsidR="007E3BAF" w:rsidRDefault="007E3BAF" w:rsidP="001E26CF">
            <w:r>
              <w:t xml:space="preserve">Etude objective des statistiques </w:t>
            </w:r>
            <w:r>
              <w:t xml:space="preserve">authentiques </w:t>
            </w:r>
            <w:r>
              <w:t>obéissant à des critères communs pour chaque secteur</w:t>
            </w:r>
          </w:p>
          <w:p w:rsidR="00087858" w:rsidRPr="007E3BAF" w:rsidRDefault="00087858" w:rsidP="001E26CF"/>
        </w:tc>
      </w:tr>
      <w:tr w:rsidR="007E3BAF" w:rsidRPr="007E3BAF" w:rsidTr="007E3BAF">
        <w:trPr>
          <w:gridAfter w:val="1"/>
          <w:wAfter w:w="15134" w:type="dxa"/>
        </w:trPr>
        <w:tc>
          <w:tcPr>
            <w:tcW w:w="15134" w:type="dxa"/>
            <w:gridSpan w:val="3"/>
          </w:tcPr>
          <w:p w:rsidR="007E3BAF" w:rsidRPr="007E3BAF" w:rsidRDefault="007E3BAF" w:rsidP="00806931">
            <w:pPr>
              <w:jc w:val="both"/>
            </w:pPr>
          </w:p>
          <w:p w:rsidR="007E3BAF" w:rsidRPr="007E3BAF" w:rsidRDefault="007E3BAF" w:rsidP="00806931">
            <w:pPr>
              <w:jc w:val="both"/>
            </w:pPr>
            <w:r w:rsidRPr="007E3BAF">
              <w:t>Présence de l’industrie sur les grandes épreuves classiques (support aux concurrents, présentation de machines</w:t>
            </w:r>
          </w:p>
        </w:tc>
      </w:tr>
      <w:tr w:rsidR="007E3BAF" w:rsidRPr="007E3BAF" w:rsidTr="007E3BAF">
        <w:trPr>
          <w:gridAfter w:val="1"/>
          <w:wAfter w:w="15134" w:type="dxa"/>
        </w:trPr>
        <w:tc>
          <w:tcPr>
            <w:tcW w:w="15134" w:type="dxa"/>
            <w:gridSpan w:val="3"/>
          </w:tcPr>
          <w:p w:rsidR="007E3BAF" w:rsidRPr="007E3BAF" w:rsidRDefault="007E3BAF" w:rsidP="00AC0B65">
            <w:pPr>
              <w:pStyle w:val="Titre1"/>
              <w:jc w:val="center"/>
              <w:outlineLvl w:val="0"/>
              <w:rPr>
                <w:rFonts w:asciiTheme="minorHAnsi" w:hAnsiTheme="minorHAnsi"/>
                <w:sz w:val="52"/>
                <w:szCs w:val="52"/>
              </w:rPr>
            </w:pPr>
            <w:r w:rsidRPr="007E3BAF">
              <w:rPr>
                <w:rFonts w:asciiTheme="minorHAnsi" w:hAnsiTheme="minorHAnsi"/>
                <w:sz w:val="52"/>
                <w:szCs w:val="52"/>
              </w:rPr>
              <w:t>Terrains de pratique (problème N°1)</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87858">
            <w:pPr>
              <w:pStyle w:val="Titre1"/>
            </w:pPr>
            <w:r w:rsidRPr="007E3BAF">
              <w:t xml:space="preserve">Action de la FIM </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B5647">
            <w:r w:rsidRPr="007E3BAF">
              <w:t>Cibler et définir la recherche</w:t>
            </w:r>
            <w:r w:rsidR="00087858">
              <w:t xml:space="preserve"> de ces terrains où il est possible de faire du trial en dehors des compétitions inscrites à un calendrier</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B5647">
            <w:r w:rsidRPr="007E3BAF">
              <w:t>Etablir des critères indispensables de base pour les terrains</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B5647">
            <w:r w:rsidRPr="007E3BAF">
              <w:t>Définir une charte de ces terrains et un label international</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B5647">
            <w:r w:rsidRPr="007E3BAF">
              <w:t>Définir une charte d’utilisation de bonne pratique en tenant compte des et des contraintes environnementales définies dans le code de l’environnement et adaptées situations particulières nationales</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B5647">
            <w:r w:rsidRPr="007E3BAF">
              <w:t>Communiquer sur l’action de recensement entreprise (fédérations, industrie, médias</w:t>
            </w:r>
            <w:r w:rsidR="00087858">
              <w:t>, supports FIM de communication</w:t>
            </w:r>
            <w:r w:rsidRPr="007E3BAF">
              <w:t>)</w:t>
            </w:r>
          </w:p>
          <w:p w:rsidR="007E3BAF" w:rsidRPr="007E3BAF" w:rsidRDefault="007E3BAF" w:rsidP="00806931">
            <w:pPr>
              <w:jc w:val="both"/>
            </w:pPr>
          </w:p>
        </w:tc>
      </w:tr>
      <w:tr w:rsidR="007E3BAF" w:rsidRPr="007E3BAF" w:rsidTr="007E3BAF">
        <w:trPr>
          <w:gridAfter w:val="1"/>
          <w:wAfter w:w="15134" w:type="dxa"/>
        </w:trPr>
        <w:tc>
          <w:tcPr>
            <w:tcW w:w="15134" w:type="dxa"/>
            <w:gridSpan w:val="3"/>
          </w:tcPr>
          <w:p w:rsidR="007E3BAF" w:rsidRPr="007E3BAF" w:rsidRDefault="007E3BAF" w:rsidP="000B5647">
            <w:r w:rsidRPr="007E3BAF">
              <w:t xml:space="preserve">Coordination des actions ultérieures (mise à jour, diffusion des documents, </w:t>
            </w:r>
            <w:proofErr w:type="spellStart"/>
            <w:r w:rsidRPr="007E3BAF">
              <w:t>website</w:t>
            </w:r>
            <w:proofErr w:type="spellEnd"/>
            <w:r w:rsidRPr="007E3BAF">
              <w:t>…)</w:t>
            </w:r>
          </w:p>
          <w:p w:rsidR="007E3BAF" w:rsidRPr="007E3BAF" w:rsidRDefault="007E3BAF" w:rsidP="000B5647"/>
        </w:tc>
      </w:tr>
      <w:tr w:rsidR="007E3BAF" w:rsidRPr="007E3BAF" w:rsidTr="007E3BAF">
        <w:trPr>
          <w:gridAfter w:val="1"/>
          <w:wAfter w:w="15134" w:type="dxa"/>
        </w:trPr>
        <w:tc>
          <w:tcPr>
            <w:tcW w:w="7567" w:type="dxa"/>
            <w:gridSpan w:val="2"/>
          </w:tcPr>
          <w:p w:rsidR="007E3BAF" w:rsidRPr="007E3BAF" w:rsidRDefault="007E3BAF" w:rsidP="00087858">
            <w:pPr>
              <w:pStyle w:val="Titre1"/>
            </w:pPr>
            <w:r w:rsidRPr="007E3BAF">
              <w:t>Actions auprès des fédérations nationales</w:t>
            </w:r>
          </w:p>
          <w:p w:rsidR="007E3BAF" w:rsidRPr="007E3BAF" w:rsidRDefault="007E3BAF" w:rsidP="000B5647"/>
        </w:tc>
        <w:tc>
          <w:tcPr>
            <w:tcW w:w="7567" w:type="dxa"/>
          </w:tcPr>
          <w:p w:rsidR="007E3BAF" w:rsidRPr="007E3BAF" w:rsidRDefault="007E3BAF" w:rsidP="000B5647"/>
          <w:p w:rsidR="007E3BAF" w:rsidRPr="007E3BAF" w:rsidRDefault="007E3BAF" w:rsidP="000B5647"/>
          <w:p w:rsidR="007E3BAF" w:rsidRPr="007E3BAF" w:rsidRDefault="007E3BAF" w:rsidP="00806931">
            <w:pPr>
              <w:jc w:val="both"/>
            </w:pPr>
            <w:r w:rsidRPr="007E3BAF">
              <w:t>La recherche ne peut se faire qu’au niveau national et devrait être de la responsabilité des FMN</w:t>
            </w:r>
          </w:p>
        </w:tc>
      </w:tr>
      <w:tr w:rsidR="007E3BAF" w:rsidRPr="007E3BAF" w:rsidTr="007E3BAF">
        <w:trPr>
          <w:gridAfter w:val="1"/>
          <w:wAfter w:w="15134" w:type="dxa"/>
        </w:trPr>
        <w:tc>
          <w:tcPr>
            <w:tcW w:w="15134" w:type="dxa"/>
            <w:gridSpan w:val="3"/>
          </w:tcPr>
          <w:p w:rsidR="007E3BAF" w:rsidRPr="007E3BAF" w:rsidRDefault="007E3BAF" w:rsidP="00EF0C75">
            <w:r w:rsidRPr="007E3BAF">
              <w:t xml:space="preserve">Effectuer un recensement exhaustif des terrains de pratiques mis à la disposition des trialistes </w:t>
            </w:r>
            <w:proofErr w:type="gramStart"/>
            <w:r w:rsidRPr="007E3BAF">
              <w:t>( clubs</w:t>
            </w:r>
            <w:proofErr w:type="gramEnd"/>
            <w:r w:rsidRPr="007E3BAF">
              <w:t xml:space="preserve">, écoles de trial, concessionnaires motos, associations privées, etc.) Demander qu’une recherche en dehors de l’environnement fédéral soit faite </w:t>
            </w:r>
            <w:proofErr w:type="gramStart"/>
            <w:r w:rsidRPr="007E3BAF">
              <w:t>( terrains</w:t>
            </w:r>
            <w:proofErr w:type="gramEnd"/>
            <w:r w:rsidRPr="007E3BAF">
              <w:t xml:space="preserve"> privés, municipaux, sociétés commerciales)</w:t>
            </w:r>
          </w:p>
          <w:p w:rsidR="007E3BAF" w:rsidRPr="007E3BAF" w:rsidRDefault="007E3BAF" w:rsidP="000B5647"/>
        </w:tc>
      </w:tr>
      <w:tr w:rsidR="007E3BAF" w:rsidRPr="007E3BAF" w:rsidTr="007E3BAF">
        <w:trPr>
          <w:gridAfter w:val="1"/>
          <w:wAfter w:w="15134" w:type="dxa"/>
        </w:trPr>
        <w:tc>
          <w:tcPr>
            <w:tcW w:w="15134" w:type="dxa"/>
            <w:gridSpan w:val="3"/>
          </w:tcPr>
          <w:p w:rsidR="007E3BAF" w:rsidRPr="00087858" w:rsidRDefault="007E3BAF" w:rsidP="00EF0C75">
            <w:pPr>
              <w:rPr>
                <w:i/>
              </w:rPr>
            </w:pPr>
            <w:r w:rsidRPr="00087858">
              <w:rPr>
                <w:i/>
              </w:rPr>
              <w:t>Avoir au sein de chaque FMN un correspondant sensibilisé au sujet avec des connaissances juridiques ou une expérience</w:t>
            </w:r>
            <w:r w:rsidR="00087858" w:rsidRPr="00087858">
              <w:rPr>
                <w:i/>
              </w:rPr>
              <w:t xml:space="preserve"> dans les règles auxquelles la moto tout terrain doit se soumettre</w:t>
            </w:r>
          </w:p>
        </w:tc>
      </w:tr>
      <w:tr w:rsidR="007E3BAF" w:rsidRPr="007E3BAF" w:rsidTr="007E3BAF">
        <w:trPr>
          <w:gridAfter w:val="1"/>
          <w:wAfter w:w="15134" w:type="dxa"/>
        </w:trPr>
        <w:tc>
          <w:tcPr>
            <w:tcW w:w="15134" w:type="dxa"/>
            <w:gridSpan w:val="3"/>
          </w:tcPr>
          <w:p w:rsidR="007E3BAF" w:rsidRPr="00087858" w:rsidRDefault="007E3BAF" w:rsidP="00087858">
            <w:pPr>
              <w:rPr>
                <w:i/>
              </w:rPr>
            </w:pPr>
          </w:p>
        </w:tc>
      </w:tr>
      <w:tr w:rsidR="007E3BAF" w:rsidRPr="007E3BAF" w:rsidTr="007E3BAF">
        <w:trPr>
          <w:gridAfter w:val="1"/>
          <w:wAfter w:w="15134" w:type="dxa"/>
        </w:trPr>
        <w:tc>
          <w:tcPr>
            <w:tcW w:w="15134" w:type="dxa"/>
            <w:gridSpan w:val="3"/>
          </w:tcPr>
          <w:p w:rsidR="00087858" w:rsidRPr="007E3BAF" w:rsidRDefault="00087858" w:rsidP="00087858">
            <w:r w:rsidRPr="007E3BAF">
              <w:t xml:space="preserve">Etablir un dossier </w:t>
            </w:r>
            <w:r>
              <w:t xml:space="preserve">type </w:t>
            </w:r>
            <w:r w:rsidRPr="007E3BAF">
              <w:t>sur les obligations légales concernant ces terrains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Encourager et accompagner les dossiers de demande de création de terrain dans le respect de l’environnement</w:t>
            </w:r>
          </w:p>
          <w:p w:rsidR="007E3BAF" w:rsidRPr="007E3BAF" w:rsidRDefault="007E3BAF" w:rsidP="00EF0C75">
            <w:pPr>
              <w:ind w:left="720"/>
            </w:pPr>
          </w:p>
        </w:tc>
      </w:tr>
      <w:tr w:rsidR="00FD5B96" w:rsidRPr="007E3BAF" w:rsidTr="007E3BAF">
        <w:trPr>
          <w:gridAfter w:val="1"/>
          <w:wAfter w:w="15134" w:type="dxa"/>
        </w:trPr>
        <w:tc>
          <w:tcPr>
            <w:tcW w:w="15134" w:type="dxa"/>
            <w:gridSpan w:val="3"/>
          </w:tcPr>
          <w:p w:rsidR="00FD5B96" w:rsidRPr="007E3BAF" w:rsidRDefault="00FD5B96" w:rsidP="00EF0C75">
            <w:r>
              <w:t>Avoir un dialogue ou des contacts avec le milieu de la protection de l’environnement ou ses législateurs</w:t>
            </w:r>
          </w:p>
        </w:tc>
      </w:tr>
      <w:tr w:rsidR="007E3BAF" w:rsidRPr="007E3BAF" w:rsidTr="007E3BAF">
        <w:trPr>
          <w:gridAfter w:val="1"/>
          <w:wAfter w:w="15134" w:type="dxa"/>
        </w:trPr>
        <w:tc>
          <w:tcPr>
            <w:tcW w:w="15134" w:type="dxa"/>
            <w:gridSpan w:val="3"/>
          </w:tcPr>
          <w:p w:rsidR="007E3BAF" w:rsidRPr="007E3BAF" w:rsidRDefault="007E3BAF" w:rsidP="00087858">
            <w:pPr>
              <w:pStyle w:val="Titre1"/>
            </w:pPr>
            <w:r w:rsidRPr="007E3BAF">
              <w:t>Presse et média</w:t>
            </w:r>
          </w:p>
          <w:p w:rsidR="007E3BAF" w:rsidRPr="007E3BAF" w:rsidRDefault="007E3BAF" w:rsidP="00EF0C75">
            <w:pPr>
              <w:ind w:left="720"/>
            </w:pPr>
            <w:r w:rsidRPr="007E3BAF">
              <w:t xml:space="preserve"> </w:t>
            </w:r>
          </w:p>
        </w:tc>
      </w:tr>
      <w:tr w:rsidR="007E3BAF" w:rsidRPr="007E3BAF" w:rsidTr="007E3BAF">
        <w:trPr>
          <w:gridAfter w:val="1"/>
          <w:wAfter w:w="15134" w:type="dxa"/>
        </w:trPr>
        <w:tc>
          <w:tcPr>
            <w:tcW w:w="15134" w:type="dxa"/>
            <w:gridSpan w:val="3"/>
          </w:tcPr>
          <w:p w:rsidR="007E3BAF" w:rsidRPr="007E3BAF" w:rsidRDefault="007E3BAF" w:rsidP="00EF0C75">
            <w:r w:rsidRPr="007E3BAF">
              <w:t>Relayer et participer à l’action de recensement</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La presse étant en général bien informée, travailler avec celle-ci pour compléter des listes</w:t>
            </w:r>
            <w:r w:rsidR="00087858">
              <w:t xml:space="preserve"> ou les contacts</w:t>
            </w:r>
          </w:p>
          <w:p w:rsidR="007E3BAF" w:rsidRPr="007E3BAF" w:rsidRDefault="007E3BAF" w:rsidP="003A609C">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Ultérieurement, diffusion des listes par pays pouvant faire l’objet d‘un cahier spécial dans les revues ou sites web</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087858">
            <w:pPr>
              <w:pStyle w:val="Titre1"/>
            </w:pPr>
            <w:r w:rsidRPr="007E3BAF">
              <w:t>Action auprès de l’industrie</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Collaborer à la charte sur les terrains de pratique</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Inclure les sites qu’utilise l’industrie dans le recensement et faire également des recherches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Aider les importateurs ou concessionnaires qui disposent de terrain de pratique</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EF0C75">
            <w:r w:rsidRPr="007E3BAF">
              <w:t>Synergie indispensable entre les concessionnaires de chaque pays pour collaborer à l’édition annuelle de</w:t>
            </w:r>
            <w:r w:rsidR="00087858">
              <w:t>s</w:t>
            </w:r>
            <w:r w:rsidRPr="007E3BAF">
              <w:t xml:space="preserve"> documents d’information et à leur distribution dans les magasins</w:t>
            </w:r>
          </w:p>
        </w:tc>
      </w:tr>
      <w:tr w:rsidR="007E3BAF" w:rsidRPr="007E3BAF" w:rsidTr="007E3BAF">
        <w:trPr>
          <w:gridAfter w:val="1"/>
          <w:wAfter w:w="15134" w:type="dxa"/>
        </w:trPr>
        <w:tc>
          <w:tcPr>
            <w:tcW w:w="15134" w:type="dxa"/>
            <w:gridSpan w:val="3"/>
          </w:tcPr>
          <w:p w:rsidR="007E3BAF" w:rsidRPr="007E3BAF" w:rsidRDefault="007E3BAF" w:rsidP="00AC0B65">
            <w:pPr>
              <w:pStyle w:val="Titre1"/>
              <w:jc w:val="center"/>
              <w:outlineLvl w:val="0"/>
              <w:rPr>
                <w:rFonts w:asciiTheme="minorHAnsi" w:hAnsiTheme="minorHAnsi"/>
                <w:sz w:val="52"/>
                <w:szCs w:val="52"/>
              </w:rPr>
            </w:pPr>
            <w:r w:rsidRPr="007E3BAF">
              <w:rPr>
                <w:rFonts w:asciiTheme="minorHAnsi" w:hAnsiTheme="minorHAnsi"/>
                <w:sz w:val="52"/>
                <w:szCs w:val="52"/>
              </w:rPr>
              <w:t xml:space="preserve">Aspect élitiste du trial </w:t>
            </w:r>
            <w:r w:rsidR="00087858" w:rsidRPr="007E3BAF">
              <w:rPr>
                <w:rFonts w:asciiTheme="minorHAnsi" w:hAnsiTheme="minorHAnsi"/>
                <w:sz w:val="52"/>
                <w:szCs w:val="52"/>
              </w:rPr>
              <w:t>(le</w:t>
            </w:r>
            <w:r w:rsidRPr="007E3BAF">
              <w:rPr>
                <w:rFonts w:asciiTheme="minorHAnsi" w:hAnsiTheme="minorHAnsi"/>
                <w:sz w:val="52"/>
                <w:szCs w:val="52"/>
              </w:rPr>
              <w:t xml:space="preserve"> réduire)</w:t>
            </w:r>
          </w:p>
          <w:p w:rsidR="007E3BAF" w:rsidRPr="007E3BAF" w:rsidRDefault="007E3BAF" w:rsidP="00EF0C75">
            <w:pPr>
              <w:numPr>
                <w:ilvl w:val="0"/>
                <w:numId w:val="10"/>
              </w:numPr>
            </w:pPr>
          </w:p>
        </w:tc>
      </w:tr>
      <w:tr w:rsidR="007E3BAF" w:rsidRPr="007E3BAF" w:rsidTr="007E3BAF">
        <w:trPr>
          <w:gridAfter w:val="1"/>
          <w:wAfter w:w="15134" w:type="dxa"/>
        </w:trPr>
        <w:tc>
          <w:tcPr>
            <w:tcW w:w="15134" w:type="dxa"/>
            <w:gridSpan w:val="3"/>
          </w:tcPr>
          <w:p w:rsidR="007E3BAF" w:rsidRPr="007E3BAF" w:rsidRDefault="007E3BAF" w:rsidP="00193216">
            <w:pPr>
              <w:pStyle w:val="Titre1"/>
              <w:outlineLvl w:val="0"/>
            </w:pPr>
            <w:r w:rsidRPr="007E3BAF">
              <w:t xml:space="preserve">Action de la FIM </w:t>
            </w:r>
          </w:p>
        </w:tc>
      </w:tr>
      <w:tr w:rsidR="007E3BAF" w:rsidRPr="007E3BAF" w:rsidTr="007E3BAF">
        <w:trPr>
          <w:gridAfter w:val="1"/>
          <w:wAfter w:w="15134" w:type="dxa"/>
        </w:trPr>
        <w:tc>
          <w:tcPr>
            <w:tcW w:w="15134" w:type="dxa"/>
            <w:gridSpan w:val="3"/>
          </w:tcPr>
          <w:p w:rsidR="007E3BAF" w:rsidRPr="007E3BAF" w:rsidRDefault="007E3BAF" w:rsidP="00910CE6">
            <w:r w:rsidRPr="007E3BAF">
              <w:t>Renforcer et soutenir  l’action du CTRS et des traceurs de sections dans les clubs organisateurs du Championnat du Monde</w:t>
            </w:r>
          </w:p>
          <w:p w:rsidR="007E3BAF" w:rsidRPr="007E3BAF" w:rsidRDefault="007E3BAF" w:rsidP="00910CE6">
            <w:pPr>
              <w:ind w:left="720"/>
            </w:pPr>
          </w:p>
        </w:tc>
      </w:tr>
      <w:tr w:rsidR="007E3BAF" w:rsidRPr="007E3BAF" w:rsidTr="007E3BAF">
        <w:trPr>
          <w:gridAfter w:val="1"/>
          <w:wAfter w:w="15134" w:type="dxa"/>
        </w:trPr>
        <w:tc>
          <w:tcPr>
            <w:tcW w:w="15134" w:type="dxa"/>
            <w:gridSpan w:val="3"/>
          </w:tcPr>
          <w:p w:rsidR="007E3BAF" w:rsidRPr="007E3BAF" w:rsidRDefault="007E3BAF" w:rsidP="00910CE6">
            <w:r w:rsidRPr="007E3BAF">
              <w:t xml:space="preserve">Faire comprendre aux organisateurs que </w:t>
            </w:r>
            <w:r w:rsidR="00087858" w:rsidRPr="007E3BAF">
              <w:t xml:space="preserve">quelques sections très difficiles départageront </w:t>
            </w:r>
            <w:r w:rsidRPr="007E3BAF">
              <w:t xml:space="preserve"> les coureurs hors du commun les et que pour tous les autres coureurs des sections faisables doivent être la grande majorité. Des articles règlementaires existent déjà mais sont difficiles </w:t>
            </w:r>
            <w:proofErr w:type="gramStart"/>
            <w:r w:rsidRPr="007E3BAF">
              <w:t>a</w:t>
            </w:r>
            <w:proofErr w:type="gramEnd"/>
            <w:r w:rsidRPr="007E3BAF">
              <w:t xml:space="preserve"> faire respecter </w:t>
            </w:r>
          </w:p>
          <w:p w:rsidR="007E3BAF" w:rsidRPr="007E3BAF" w:rsidRDefault="007E3BAF" w:rsidP="00910CE6"/>
        </w:tc>
      </w:tr>
      <w:tr w:rsidR="00193216" w:rsidRPr="007E3BAF" w:rsidTr="007E3BAF">
        <w:trPr>
          <w:gridAfter w:val="1"/>
          <w:wAfter w:w="15134" w:type="dxa"/>
        </w:trPr>
        <w:tc>
          <w:tcPr>
            <w:tcW w:w="15134" w:type="dxa"/>
            <w:gridSpan w:val="3"/>
          </w:tcPr>
          <w:p w:rsidR="00193216" w:rsidRPr="007E3BAF" w:rsidRDefault="00193216" w:rsidP="00910CE6">
            <w:r>
              <w:t>Rechercher d’autres mesures règlementaires d’accompagnement au-delà de ce qui est proposé pour 2010</w:t>
            </w:r>
          </w:p>
        </w:tc>
      </w:tr>
      <w:tr w:rsidR="007E3BAF" w:rsidRPr="007E3BAF" w:rsidTr="007E3BAF">
        <w:trPr>
          <w:gridAfter w:val="1"/>
          <w:wAfter w:w="15134" w:type="dxa"/>
        </w:trPr>
        <w:tc>
          <w:tcPr>
            <w:tcW w:w="15134" w:type="dxa"/>
            <w:gridSpan w:val="3"/>
          </w:tcPr>
          <w:p w:rsidR="007E3BAF" w:rsidRPr="007E3BAF" w:rsidRDefault="007E3BAF" w:rsidP="00910CE6">
            <w:r w:rsidRPr="007E3BAF">
              <w:t>Ne pas culpabiliser sur le trial indoor qui doit rester un grand spectacle, mais l’utiliser pour présenter  en même temps le trial sous un aspect plus ludique ( projection de vidéo, information dans les programmes)</w:t>
            </w:r>
          </w:p>
          <w:p w:rsidR="007E3BAF" w:rsidRPr="007E3BAF" w:rsidRDefault="007E3BAF" w:rsidP="00EF0C75">
            <w:pPr>
              <w:numPr>
                <w:ilvl w:val="0"/>
                <w:numId w:val="10"/>
              </w:numPr>
            </w:pPr>
          </w:p>
        </w:tc>
      </w:tr>
      <w:tr w:rsidR="007E3BAF" w:rsidRPr="007E3BAF" w:rsidTr="007E3BAF">
        <w:trPr>
          <w:gridAfter w:val="1"/>
          <w:wAfter w:w="15134" w:type="dxa"/>
        </w:trPr>
        <w:tc>
          <w:tcPr>
            <w:tcW w:w="15134" w:type="dxa"/>
            <w:gridSpan w:val="3"/>
          </w:tcPr>
          <w:p w:rsidR="007E3BAF" w:rsidRPr="007E3BAF" w:rsidRDefault="007E3BAF" w:rsidP="00193216">
            <w:pPr>
              <w:pStyle w:val="Titre1"/>
            </w:pPr>
            <w:r w:rsidRPr="007E3BAF">
              <w:t>Actions auprès des fédérations nationales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 xml:space="preserve">Faire appliquer et contrôler cette volonté de diminuer le niveau des sections  dans toutes les </w:t>
            </w:r>
            <w:r w:rsidR="00193216">
              <w:t>catégories.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 xml:space="preserve">Soutenir les efforts préconisés par la FIM pour rendre le trial plus équitable </w:t>
            </w:r>
            <w:r w:rsidR="00193216" w:rsidRPr="007E3BAF">
              <w:t>(entre</w:t>
            </w:r>
            <w:r w:rsidRPr="007E3BAF">
              <w:t xml:space="preserve"> les professionnels et les autres) lors des formations de commissaires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Favoriser les épreuves de masse</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193216">
            <w:pPr>
              <w:pStyle w:val="Titre1"/>
            </w:pPr>
            <w:r w:rsidRPr="007E3BAF">
              <w:t>Action auprès de l’industrie</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Default="007E3BAF" w:rsidP="00965807">
            <w:r w:rsidRPr="007E3BAF">
              <w:t>La rendre plus solidaire de ce concept</w:t>
            </w:r>
          </w:p>
          <w:p w:rsidR="00193216" w:rsidRPr="007E3BAF" w:rsidRDefault="00193216" w:rsidP="00965807"/>
        </w:tc>
      </w:tr>
      <w:tr w:rsidR="007E3BAF" w:rsidRPr="007E3BAF" w:rsidTr="007E3BAF">
        <w:trPr>
          <w:gridAfter w:val="1"/>
          <w:wAfter w:w="15134" w:type="dxa"/>
        </w:trPr>
        <w:tc>
          <w:tcPr>
            <w:tcW w:w="15134" w:type="dxa"/>
            <w:gridSpan w:val="3"/>
          </w:tcPr>
          <w:p w:rsidR="007E3BAF" w:rsidRDefault="007E3BAF" w:rsidP="00965807">
            <w:r w:rsidRPr="007E3BAF">
              <w:t xml:space="preserve">Respecter les règles établies pour lutter contre cet aspect </w:t>
            </w:r>
          </w:p>
          <w:p w:rsidR="00193216" w:rsidRPr="007E3BAF" w:rsidRDefault="00193216" w:rsidP="00965807"/>
        </w:tc>
      </w:tr>
      <w:tr w:rsidR="007E3BAF" w:rsidRPr="007E3BAF" w:rsidTr="007E3BAF">
        <w:trPr>
          <w:gridAfter w:val="1"/>
          <w:wAfter w:w="15134" w:type="dxa"/>
        </w:trPr>
        <w:tc>
          <w:tcPr>
            <w:tcW w:w="15134" w:type="dxa"/>
            <w:gridSpan w:val="3"/>
          </w:tcPr>
          <w:p w:rsidR="007E3BAF" w:rsidRPr="007E3BAF" w:rsidRDefault="007E3BAF" w:rsidP="00AC0B65">
            <w:pPr>
              <w:pStyle w:val="Titre1"/>
              <w:jc w:val="center"/>
              <w:outlineLvl w:val="0"/>
              <w:rPr>
                <w:rFonts w:asciiTheme="minorHAnsi" w:hAnsiTheme="minorHAnsi"/>
                <w:sz w:val="52"/>
                <w:szCs w:val="52"/>
              </w:rPr>
            </w:pPr>
            <w:r w:rsidRPr="007E3BAF">
              <w:rPr>
                <w:rFonts w:asciiTheme="minorHAnsi" w:hAnsiTheme="minorHAnsi"/>
                <w:sz w:val="52"/>
                <w:szCs w:val="52"/>
              </w:rPr>
              <w:t>Etablissement des calendriers (l’améliorer)</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193216">
            <w:pPr>
              <w:pStyle w:val="Titre1"/>
            </w:pPr>
            <w:r w:rsidRPr="007E3BAF">
              <w:t xml:space="preserve">Action de la FIM </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 xml:space="preserve">Collaborer avec l’UEM pour mieux synchroniser et harmoniser  les calendriers et organiser </w:t>
            </w:r>
            <w:r w:rsidR="00193216" w:rsidRPr="007E3BAF">
              <w:t>(dans</w:t>
            </w:r>
            <w:r w:rsidRPr="007E3BAF">
              <w:t xml:space="preserve"> la mesure des possibilités</w:t>
            </w:r>
            <w:r w:rsidR="00193216">
              <w:t>)</w:t>
            </w:r>
            <w:r w:rsidRPr="007E3BAF">
              <w:t xml:space="preserve">  des joints </w:t>
            </w:r>
            <w:proofErr w:type="spellStart"/>
            <w:r w:rsidRPr="007E3BAF">
              <w:t>events</w:t>
            </w:r>
            <w:proofErr w:type="spellEnd"/>
            <w:r w:rsidRPr="007E3BAF">
              <w:t>)</w:t>
            </w:r>
            <w:r w:rsidR="00193216">
              <w:t xml:space="preserve"> pour toutes les catégories de championnat pour réduire les déplacements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Encourager les unions continentales dans leurs recherches de dates pour des compétitions ouvertes aux jeunes</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Faire des calendriers à long terme pour avoir le temps de les rectifier</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Pr="007E3BAF" w:rsidRDefault="007E3BAF" w:rsidP="00965807">
            <w:r w:rsidRPr="007E3BAF">
              <w:t>Organiser plus d’une épreuve dans les pays à forte capacité d’organiser</w:t>
            </w:r>
          </w:p>
          <w:p w:rsidR="007E3BAF" w:rsidRPr="007E3BAF" w:rsidRDefault="007E3BAF" w:rsidP="00EF0C75">
            <w:pPr>
              <w:ind w:left="720"/>
            </w:pPr>
          </w:p>
        </w:tc>
      </w:tr>
      <w:tr w:rsidR="007E3BAF" w:rsidRPr="007E3BAF" w:rsidTr="007E3BAF">
        <w:trPr>
          <w:gridAfter w:val="1"/>
          <w:wAfter w:w="15134" w:type="dxa"/>
        </w:trPr>
        <w:tc>
          <w:tcPr>
            <w:tcW w:w="15134" w:type="dxa"/>
            <w:gridSpan w:val="3"/>
          </w:tcPr>
          <w:p w:rsidR="007E3BAF" w:rsidRDefault="007E3BAF" w:rsidP="00965807">
            <w:r w:rsidRPr="007E3BAF">
              <w:t>N’avoir que deux épreuves consécutives par mois</w:t>
            </w:r>
          </w:p>
          <w:p w:rsidR="00193216" w:rsidRPr="007E3BAF" w:rsidRDefault="00193216" w:rsidP="00965807"/>
        </w:tc>
      </w:tr>
      <w:tr w:rsidR="007E3BAF" w:rsidRPr="007E3BAF" w:rsidTr="007E3BAF">
        <w:trPr>
          <w:gridAfter w:val="1"/>
          <w:wAfter w:w="15134" w:type="dxa"/>
        </w:trPr>
        <w:tc>
          <w:tcPr>
            <w:tcW w:w="15134" w:type="dxa"/>
            <w:gridSpan w:val="3"/>
          </w:tcPr>
          <w:p w:rsidR="007E3BAF" w:rsidRDefault="007E3BAF" w:rsidP="00965807">
            <w:r w:rsidRPr="007E3BAF">
              <w:t>Favoriser le marché existant et essayer de nouvelles possibilités à plus long terme </w:t>
            </w:r>
            <w:proofErr w:type="gramStart"/>
            <w:r w:rsidRPr="007E3BAF">
              <w:t>:vers</w:t>
            </w:r>
            <w:proofErr w:type="gramEnd"/>
            <w:r w:rsidRPr="007E3BAF">
              <w:t xml:space="preserve"> les pays émergeants</w:t>
            </w:r>
          </w:p>
          <w:p w:rsidR="00193216" w:rsidRPr="007E3BAF" w:rsidRDefault="00193216" w:rsidP="00965807"/>
        </w:tc>
      </w:tr>
      <w:tr w:rsidR="007E3BAF" w:rsidRPr="007E3BAF" w:rsidTr="007E3BAF">
        <w:trPr>
          <w:gridAfter w:val="1"/>
          <w:wAfter w:w="15134" w:type="dxa"/>
        </w:trPr>
        <w:tc>
          <w:tcPr>
            <w:tcW w:w="15134" w:type="dxa"/>
            <w:gridSpan w:val="3"/>
          </w:tcPr>
          <w:p w:rsidR="007E3BAF" w:rsidRDefault="007E3BAF" w:rsidP="00965807">
            <w:pPr>
              <w:rPr>
                <w:rFonts w:cs="Arial"/>
                <w:lang w:val="es-ES_tradnl"/>
              </w:rPr>
            </w:pPr>
            <w:proofErr w:type="spellStart"/>
            <w:r w:rsidRPr="007E3BAF">
              <w:rPr>
                <w:rFonts w:cs="Arial"/>
                <w:lang w:val="es-ES_tradnl"/>
              </w:rPr>
              <w:t>Organiser</w:t>
            </w:r>
            <w:proofErr w:type="spellEnd"/>
            <w:r w:rsidRPr="007E3BAF">
              <w:rPr>
                <w:rFonts w:cs="Arial"/>
                <w:lang w:val="es-ES_tradnl"/>
              </w:rPr>
              <w:t xml:space="preserve"> les </w:t>
            </w:r>
            <w:proofErr w:type="spellStart"/>
            <w:r w:rsidRPr="007E3BAF">
              <w:rPr>
                <w:rFonts w:cs="Arial"/>
                <w:lang w:val="es-ES_tradnl"/>
              </w:rPr>
              <w:t>championnats</w:t>
            </w:r>
            <w:proofErr w:type="spellEnd"/>
            <w:r w:rsidRPr="007E3BAF">
              <w:rPr>
                <w:rFonts w:cs="Arial"/>
                <w:lang w:val="es-ES_tradnl"/>
              </w:rPr>
              <w:t xml:space="preserve"> du Monde </w:t>
            </w:r>
            <w:proofErr w:type="spellStart"/>
            <w:r w:rsidRPr="007E3BAF">
              <w:rPr>
                <w:rFonts w:cs="Arial"/>
                <w:lang w:val="es-ES_tradnl"/>
              </w:rPr>
              <w:t>dans</w:t>
            </w:r>
            <w:proofErr w:type="spellEnd"/>
            <w:r w:rsidRPr="007E3BAF">
              <w:rPr>
                <w:rFonts w:cs="Arial"/>
                <w:lang w:val="es-ES_tradnl"/>
              </w:rPr>
              <w:t xml:space="preserve"> des  </w:t>
            </w:r>
            <w:proofErr w:type="spellStart"/>
            <w:r w:rsidRPr="007E3BAF">
              <w:rPr>
                <w:rFonts w:cs="Arial"/>
                <w:lang w:val="es-ES_tradnl"/>
              </w:rPr>
              <w:t>lieux</w:t>
            </w:r>
            <w:proofErr w:type="spellEnd"/>
            <w:r w:rsidRPr="007E3BAF">
              <w:rPr>
                <w:rFonts w:cs="Arial"/>
                <w:lang w:val="es-ES_tradnl"/>
              </w:rPr>
              <w:t xml:space="preserve">  </w:t>
            </w:r>
            <w:proofErr w:type="spellStart"/>
            <w:r w:rsidRPr="007E3BAF">
              <w:rPr>
                <w:rFonts w:cs="Arial"/>
                <w:lang w:val="es-ES_tradnl"/>
              </w:rPr>
              <w:t>qui</w:t>
            </w:r>
            <w:proofErr w:type="spellEnd"/>
            <w:r w:rsidRPr="007E3BAF">
              <w:rPr>
                <w:rFonts w:cs="Arial"/>
                <w:lang w:val="es-ES_tradnl"/>
              </w:rPr>
              <w:t xml:space="preserve"> </w:t>
            </w:r>
            <w:proofErr w:type="spellStart"/>
            <w:r w:rsidRPr="007E3BAF">
              <w:rPr>
                <w:rFonts w:cs="Arial"/>
                <w:lang w:val="es-ES_tradnl"/>
              </w:rPr>
              <w:t>resteront</w:t>
            </w:r>
            <w:proofErr w:type="spellEnd"/>
            <w:r w:rsidRPr="007E3BAF">
              <w:rPr>
                <w:rFonts w:cs="Arial"/>
                <w:lang w:val="es-ES_tradnl"/>
              </w:rPr>
              <w:t xml:space="preserve"> libres </w:t>
            </w:r>
            <w:proofErr w:type="spellStart"/>
            <w:r w:rsidRPr="007E3BAF">
              <w:rPr>
                <w:rFonts w:cs="Arial"/>
                <w:lang w:val="es-ES_tradnl"/>
              </w:rPr>
              <w:t>d’accès</w:t>
            </w:r>
            <w:proofErr w:type="spellEnd"/>
            <w:r w:rsidRPr="007E3BAF">
              <w:rPr>
                <w:rFonts w:cs="Arial"/>
                <w:lang w:val="es-ES_tradnl"/>
              </w:rPr>
              <w:t xml:space="preserve"> </w:t>
            </w:r>
            <w:proofErr w:type="spellStart"/>
            <w:r w:rsidRPr="007E3BAF">
              <w:rPr>
                <w:rFonts w:cs="Arial"/>
                <w:lang w:val="es-ES_tradnl"/>
              </w:rPr>
              <w:t>après</w:t>
            </w:r>
            <w:proofErr w:type="spellEnd"/>
            <w:r w:rsidRPr="007E3BAF">
              <w:rPr>
                <w:rFonts w:cs="Arial"/>
                <w:lang w:val="es-ES_tradnl"/>
              </w:rPr>
              <w:t xml:space="preserve"> la </w:t>
            </w:r>
            <w:proofErr w:type="spellStart"/>
            <w:r w:rsidRPr="007E3BAF">
              <w:rPr>
                <w:rFonts w:cs="Arial"/>
                <w:lang w:val="es-ES_tradnl"/>
              </w:rPr>
              <w:t>compétition</w:t>
            </w:r>
            <w:proofErr w:type="spellEnd"/>
          </w:p>
          <w:p w:rsidR="00193216" w:rsidRPr="007E3BAF" w:rsidRDefault="00193216" w:rsidP="00965807"/>
        </w:tc>
      </w:tr>
      <w:tr w:rsidR="007E3BAF" w:rsidRPr="007E3BAF" w:rsidTr="007E3BAF">
        <w:trPr>
          <w:gridAfter w:val="1"/>
          <w:wAfter w:w="15134" w:type="dxa"/>
        </w:trPr>
        <w:tc>
          <w:tcPr>
            <w:tcW w:w="7567" w:type="dxa"/>
            <w:gridSpan w:val="2"/>
          </w:tcPr>
          <w:p w:rsidR="007E3BAF" w:rsidRPr="007E3BAF" w:rsidRDefault="007E3BAF" w:rsidP="00193216">
            <w:pPr>
              <w:pStyle w:val="Titre1"/>
            </w:pPr>
            <w:r w:rsidRPr="007E3BAF">
              <w:t>Actions auprès des fédérations nationales</w:t>
            </w:r>
          </w:p>
        </w:tc>
        <w:tc>
          <w:tcPr>
            <w:tcW w:w="7567" w:type="dxa"/>
          </w:tcPr>
          <w:p w:rsidR="007E3BAF" w:rsidRPr="007E3BAF" w:rsidRDefault="007E3BAF" w:rsidP="000E7976">
            <w:r w:rsidRPr="007E3BAF">
              <w:t xml:space="preserve">Les fédérations nationales sont les génératrices du calendrier européen et mondial et doivent être très </w:t>
            </w:r>
            <w:proofErr w:type="spellStart"/>
            <w:r w:rsidRPr="007E3BAF">
              <w:t>proactiv</w:t>
            </w:r>
            <w:r w:rsidR="00193216">
              <w:t>s</w:t>
            </w:r>
            <w:r w:rsidRPr="007E3BAF">
              <w:t>e</w:t>
            </w:r>
            <w:proofErr w:type="spellEnd"/>
            <w:r w:rsidRPr="007E3BAF">
              <w:t xml:space="preserve"> dans la sélection des organisateurs</w:t>
            </w:r>
          </w:p>
          <w:p w:rsidR="007E3BAF" w:rsidRPr="007E3BAF" w:rsidRDefault="007E3BAF" w:rsidP="000E7976">
            <w:pPr>
              <w:pStyle w:val="Titre2"/>
              <w:outlineLvl w:val="1"/>
              <w:rPr>
                <w:rFonts w:asciiTheme="minorHAnsi" w:hAnsiTheme="minorHAnsi"/>
              </w:rPr>
            </w:pPr>
          </w:p>
        </w:tc>
      </w:tr>
      <w:tr w:rsidR="007E3BAF" w:rsidRPr="007E3BAF" w:rsidTr="007E3BAF">
        <w:trPr>
          <w:gridAfter w:val="1"/>
          <w:wAfter w:w="15134" w:type="dxa"/>
        </w:trPr>
        <w:tc>
          <w:tcPr>
            <w:tcW w:w="15134" w:type="dxa"/>
            <w:gridSpan w:val="3"/>
          </w:tcPr>
          <w:p w:rsidR="007E3BAF" w:rsidRPr="007E3BAF" w:rsidRDefault="007E3BAF" w:rsidP="000E7976">
            <w:r w:rsidRPr="007E3BAF">
              <w:t>favoriser la présentation des candidatures dans des lieux qui resteront accessibles au trial après la compétition.</w:t>
            </w:r>
          </w:p>
          <w:p w:rsidR="007E3BAF" w:rsidRPr="007E3BAF" w:rsidRDefault="007E3BAF" w:rsidP="000E7976"/>
        </w:tc>
      </w:tr>
      <w:tr w:rsidR="007E3BAF" w:rsidRPr="007E3BAF" w:rsidTr="007E3BAF">
        <w:trPr>
          <w:gridAfter w:val="1"/>
          <w:wAfter w:w="15134" w:type="dxa"/>
        </w:trPr>
        <w:tc>
          <w:tcPr>
            <w:tcW w:w="15134" w:type="dxa"/>
            <w:gridSpan w:val="3"/>
          </w:tcPr>
          <w:p w:rsidR="007E3BAF" w:rsidRPr="007E3BAF" w:rsidRDefault="007E3BAF" w:rsidP="000E7976">
            <w:r w:rsidRPr="007E3BAF">
              <w:t xml:space="preserve">favoriser les épreuves où il est possible pour les spectateurs </w:t>
            </w:r>
            <w:r w:rsidR="00193216">
              <w:t xml:space="preserve"> à moto </w:t>
            </w:r>
            <w:r w:rsidRPr="007E3BAF">
              <w:t xml:space="preserve">d’accompagner les coureurs sur un parcours voisin. </w:t>
            </w:r>
          </w:p>
          <w:p w:rsidR="007E3BAF" w:rsidRDefault="00193216" w:rsidP="00193216">
            <w:r>
              <w:t>Recommander aux organisateurs de voir ce qui se passe dans les autres pays voisins</w:t>
            </w:r>
          </w:p>
          <w:p w:rsidR="00193216" w:rsidRPr="007E3BAF" w:rsidRDefault="00193216" w:rsidP="00193216"/>
        </w:tc>
      </w:tr>
      <w:tr w:rsidR="007E3BAF" w:rsidRPr="007E3BAF" w:rsidTr="007E3BAF">
        <w:trPr>
          <w:gridAfter w:val="1"/>
          <w:wAfter w:w="15134" w:type="dxa"/>
        </w:trPr>
        <w:tc>
          <w:tcPr>
            <w:tcW w:w="15134" w:type="dxa"/>
            <w:gridSpan w:val="3"/>
          </w:tcPr>
          <w:p w:rsidR="007E3BAF" w:rsidRDefault="007E3BAF" w:rsidP="000E7976">
            <w:r w:rsidRPr="007E3BAF">
              <w:t xml:space="preserve">Favoriser les sites </w:t>
            </w:r>
            <w:r w:rsidR="00193216">
              <w:t xml:space="preserve">des championnats </w:t>
            </w:r>
            <w:r w:rsidRPr="007E3BAF">
              <w:t>où l’accessibilité aux sections est garantie</w:t>
            </w:r>
            <w:r w:rsidR="00193216">
              <w:t xml:space="preserve"> aux spectateurs</w:t>
            </w:r>
          </w:p>
          <w:p w:rsidR="00193216" w:rsidRPr="007E3BAF" w:rsidRDefault="00193216" w:rsidP="000E7976"/>
        </w:tc>
      </w:tr>
      <w:tr w:rsidR="007E3BAF" w:rsidRPr="007E3BAF" w:rsidTr="007E3BAF">
        <w:trPr>
          <w:gridAfter w:val="1"/>
          <w:wAfter w:w="15134" w:type="dxa"/>
        </w:trPr>
        <w:tc>
          <w:tcPr>
            <w:tcW w:w="15134" w:type="dxa"/>
            <w:gridSpan w:val="3"/>
          </w:tcPr>
          <w:p w:rsidR="007E3BAF" w:rsidRPr="007E3BAF" w:rsidRDefault="007E3BAF" w:rsidP="00193216">
            <w:pPr>
              <w:pStyle w:val="Titre1"/>
            </w:pPr>
            <w:r w:rsidRPr="007E3BAF">
              <w:t>Action auprès de l’industrie</w:t>
            </w:r>
          </w:p>
        </w:tc>
      </w:tr>
      <w:tr w:rsidR="007E3BAF" w:rsidRPr="007E3BAF" w:rsidTr="007E3BAF">
        <w:trPr>
          <w:gridAfter w:val="1"/>
          <w:wAfter w:w="15134" w:type="dxa"/>
        </w:trPr>
        <w:tc>
          <w:tcPr>
            <w:tcW w:w="15134" w:type="dxa"/>
            <w:gridSpan w:val="3"/>
          </w:tcPr>
          <w:p w:rsidR="007E3BAF" w:rsidRPr="007E3BAF" w:rsidRDefault="007E3BAF" w:rsidP="000E7976">
            <w:r w:rsidRPr="007E3BAF">
              <w:t>Accepter une augmentation du nombre de manifestations du championnat du Monde si le positionnement géographique le permet</w:t>
            </w:r>
          </w:p>
        </w:tc>
      </w:tr>
      <w:tr w:rsidR="007E3BAF" w:rsidRPr="007E3BAF" w:rsidTr="007E3BAF">
        <w:trPr>
          <w:gridAfter w:val="1"/>
          <w:wAfter w:w="15134" w:type="dxa"/>
        </w:trPr>
        <w:tc>
          <w:tcPr>
            <w:tcW w:w="15134" w:type="dxa"/>
            <w:gridSpan w:val="3"/>
          </w:tcPr>
          <w:p w:rsidR="007E3BAF" w:rsidRPr="007E3BAF" w:rsidRDefault="00193216" w:rsidP="00193216">
            <w:r>
              <w:t>Dans certains pays les importateurs représentent une force puissante qui peut permettre la mise sur pied d’une organisation</w:t>
            </w:r>
          </w:p>
        </w:tc>
      </w:tr>
    </w:tbl>
    <w:p w:rsidR="00121454" w:rsidRPr="007E3BAF" w:rsidRDefault="00121454" w:rsidP="00EB166E">
      <w:pPr>
        <w:jc w:val="both"/>
      </w:pPr>
    </w:p>
    <w:p w:rsidR="00806931" w:rsidRPr="007E3BAF" w:rsidRDefault="00806931" w:rsidP="00EB166E">
      <w:pPr>
        <w:jc w:val="both"/>
      </w:pPr>
    </w:p>
    <w:sectPr w:rsidR="00806931" w:rsidRPr="007E3BAF" w:rsidSect="00806931">
      <w:footerReference w:type="default" r:id="rId7"/>
      <w:pgSz w:w="16838" w:h="11906" w:orient="landscape"/>
      <w:pgMar w:top="1417" w:right="1417" w:bottom="141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B65" w:rsidRDefault="00AC0B65" w:rsidP="00AC0B65">
      <w:pPr>
        <w:spacing w:after="0" w:line="240" w:lineRule="auto"/>
      </w:pPr>
      <w:r>
        <w:separator/>
      </w:r>
    </w:p>
  </w:endnote>
  <w:endnote w:type="continuationSeparator" w:id="0">
    <w:p w:rsidR="00AC0B65" w:rsidRDefault="00AC0B65" w:rsidP="00AC0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29110"/>
      <w:docPartObj>
        <w:docPartGallery w:val="Page Numbers (Bottom of Page)"/>
        <w:docPartUnique/>
      </w:docPartObj>
    </w:sdtPr>
    <w:sdtContent>
      <w:p w:rsidR="00AC0B65" w:rsidRDefault="00AC0B65">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307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3073">
                <w:txbxContent>
                  <w:p w:rsidR="00AC0B65" w:rsidRDefault="00AC0B65">
                    <w:pPr>
                      <w:jc w:val="center"/>
                    </w:pPr>
                    <w:fldSimple w:instr=" PAGE    \* MERGEFORMAT ">
                      <w:r w:rsidRPr="00AC0B65">
                        <w:rPr>
                          <w:noProof/>
                          <w:sz w:val="16"/>
                          <w:szCs w:val="16"/>
                        </w:rPr>
                        <w:t>7</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B65" w:rsidRDefault="00AC0B65" w:rsidP="00AC0B65">
      <w:pPr>
        <w:spacing w:after="0" w:line="240" w:lineRule="auto"/>
      </w:pPr>
      <w:r>
        <w:separator/>
      </w:r>
    </w:p>
  </w:footnote>
  <w:footnote w:type="continuationSeparator" w:id="0">
    <w:p w:rsidR="00AC0B65" w:rsidRDefault="00AC0B65" w:rsidP="00AC0B6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3A61"/>
    <w:multiLevelType w:val="hybridMultilevel"/>
    <w:tmpl w:val="D76854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5D75CE"/>
    <w:multiLevelType w:val="hybridMultilevel"/>
    <w:tmpl w:val="02E8C7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B43890"/>
    <w:multiLevelType w:val="hybridMultilevel"/>
    <w:tmpl w:val="54DC0D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24F0D7F"/>
    <w:multiLevelType w:val="hybridMultilevel"/>
    <w:tmpl w:val="EA346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45A67FB"/>
    <w:multiLevelType w:val="hybridMultilevel"/>
    <w:tmpl w:val="9B941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990E1A"/>
    <w:multiLevelType w:val="hybridMultilevel"/>
    <w:tmpl w:val="64ACA3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98B1486"/>
    <w:multiLevelType w:val="hybridMultilevel"/>
    <w:tmpl w:val="3A5405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FC6396"/>
    <w:multiLevelType w:val="hybridMultilevel"/>
    <w:tmpl w:val="97EA52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nsid w:val="5983367B"/>
    <w:multiLevelType w:val="hybridMultilevel"/>
    <w:tmpl w:val="AAA27E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F127BC"/>
    <w:multiLevelType w:val="hybridMultilevel"/>
    <w:tmpl w:val="340C1D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E900F9D"/>
    <w:multiLevelType w:val="hybridMultilevel"/>
    <w:tmpl w:val="CEEE00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4816E68"/>
    <w:multiLevelType w:val="hybridMultilevel"/>
    <w:tmpl w:val="AE1CF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2AF7A3D"/>
    <w:multiLevelType w:val="hybridMultilevel"/>
    <w:tmpl w:val="A314A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AE27530"/>
    <w:multiLevelType w:val="hybridMultilevel"/>
    <w:tmpl w:val="F746C30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B39167D"/>
    <w:multiLevelType w:val="hybridMultilevel"/>
    <w:tmpl w:val="976204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4"/>
  </w:num>
  <w:num w:numId="2">
    <w:abstractNumId w:val="12"/>
  </w:num>
  <w:num w:numId="3">
    <w:abstractNumId w:val="1"/>
  </w:num>
  <w:num w:numId="4">
    <w:abstractNumId w:val="0"/>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3"/>
  </w:num>
  <w:num w:numId="8">
    <w:abstractNumId w:val="2"/>
  </w:num>
  <w:num w:numId="9">
    <w:abstractNumId w:val="8"/>
  </w:num>
  <w:num w:numId="10">
    <w:abstractNumId w:val="11"/>
  </w:num>
  <w:num w:numId="11">
    <w:abstractNumId w:val="9"/>
  </w:num>
  <w:num w:numId="12">
    <w:abstractNumId w:val="3"/>
  </w:num>
  <w:num w:numId="13">
    <w:abstractNumId w:val="7"/>
  </w:num>
  <w:num w:numId="14">
    <w:abstractNumId w:val="6"/>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rsids>
    <w:rsidRoot w:val="00806931"/>
    <w:rsid w:val="00070D71"/>
    <w:rsid w:val="00087858"/>
    <w:rsid w:val="000B5647"/>
    <w:rsid w:val="000E7976"/>
    <w:rsid w:val="00121454"/>
    <w:rsid w:val="00150C3E"/>
    <w:rsid w:val="00193216"/>
    <w:rsid w:val="004828D7"/>
    <w:rsid w:val="004E6DCB"/>
    <w:rsid w:val="007E3BAF"/>
    <w:rsid w:val="00806931"/>
    <w:rsid w:val="00910CE6"/>
    <w:rsid w:val="00965807"/>
    <w:rsid w:val="00AC0B65"/>
    <w:rsid w:val="00B85DEF"/>
    <w:rsid w:val="00D8343F"/>
    <w:rsid w:val="00DD4670"/>
    <w:rsid w:val="00E500F1"/>
    <w:rsid w:val="00EB166E"/>
    <w:rsid w:val="00EF0C75"/>
    <w:rsid w:val="00F12FBF"/>
    <w:rsid w:val="00FD5B9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454"/>
  </w:style>
  <w:style w:type="paragraph" w:styleId="Titre1">
    <w:name w:val="heading 1"/>
    <w:basedOn w:val="Normal"/>
    <w:next w:val="Normal"/>
    <w:link w:val="Titre1Car"/>
    <w:uiPriority w:val="9"/>
    <w:qFormat/>
    <w:rsid w:val="00806931"/>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next w:val="Normal"/>
    <w:link w:val="Titre2Car"/>
    <w:uiPriority w:val="9"/>
    <w:unhideWhenUsed/>
    <w:qFormat/>
    <w:rsid w:val="008069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D46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06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1Car">
    <w:name w:val="Titre 1 Car"/>
    <w:basedOn w:val="Policepardfaut"/>
    <w:link w:val="Titre1"/>
    <w:uiPriority w:val="9"/>
    <w:rsid w:val="00806931"/>
    <w:rPr>
      <w:rFonts w:ascii="Cambria" w:eastAsia="Times New Roman" w:hAnsi="Cambria" w:cs="Times New Roman"/>
      <w:b/>
      <w:bCs/>
      <w:color w:val="365F91"/>
      <w:sz w:val="28"/>
      <w:szCs w:val="28"/>
    </w:rPr>
  </w:style>
  <w:style w:type="character" w:customStyle="1" w:styleId="Titre2Car">
    <w:name w:val="Titre 2 Car"/>
    <w:basedOn w:val="Policepardfaut"/>
    <w:link w:val="Titre2"/>
    <w:uiPriority w:val="9"/>
    <w:rsid w:val="00806931"/>
    <w:rPr>
      <w:rFonts w:asciiTheme="majorHAnsi" w:eastAsiaTheme="majorEastAsia" w:hAnsiTheme="majorHAnsi" w:cstheme="majorBidi"/>
      <w:b/>
      <w:bCs/>
      <w:color w:val="4F81BD" w:themeColor="accent1"/>
      <w:sz w:val="26"/>
      <w:szCs w:val="26"/>
    </w:rPr>
  </w:style>
  <w:style w:type="paragraph" w:styleId="Titre">
    <w:name w:val="Title"/>
    <w:basedOn w:val="Normal"/>
    <w:next w:val="Normal"/>
    <w:link w:val="TitreCar"/>
    <w:uiPriority w:val="10"/>
    <w:qFormat/>
    <w:rsid w:val="0080693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806931"/>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806931"/>
    <w:pPr>
      <w:ind w:left="720"/>
      <w:contextualSpacing/>
    </w:pPr>
    <w:rPr>
      <w:rFonts w:ascii="Calibri" w:eastAsia="Calibri" w:hAnsi="Calibri" w:cs="Times New Roman"/>
    </w:rPr>
  </w:style>
  <w:style w:type="character" w:customStyle="1" w:styleId="Titre3Car">
    <w:name w:val="Titre 3 Car"/>
    <w:basedOn w:val="Policepardfaut"/>
    <w:link w:val="Titre3"/>
    <w:uiPriority w:val="9"/>
    <w:rsid w:val="00DD4670"/>
    <w:rPr>
      <w:rFonts w:asciiTheme="majorHAnsi" w:eastAsiaTheme="majorEastAsia" w:hAnsiTheme="majorHAnsi" w:cstheme="majorBidi"/>
      <w:b/>
      <w:bCs/>
      <w:color w:val="4F81BD" w:themeColor="accent1"/>
    </w:rPr>
  </w:style>
  <w:style w:type="paragraph" w:styleId="En-tte">
    <w:name w:val="header"/>
    <w:basedOn w:val="Normal"/>
    <w:link w:val="En-tteCar"/>
    <w:uiPriority w:val="99"/>
    <w:semiHidden/>
    <w:unhideWhenUsed/>
    <w:rsid w:val="00AC0B65"/>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C0B65"/>
  </w:style>
  <w:style w:type="paragraph" w:styleId="Pieddepage">
    <w:name w:val="footer"/>
    <w:basedOn w:val="Normal"/>
    <w:link w:val="PieddepageCar"/>
    <w:uiPriority w:val="99"/>
    <w:semiHidden/>
    <w:unhideWhenUsed/>
    <w:rsid w:val="00AC0B65"/>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C0B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an%20marc\Bureau\Doc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E0DFE3"/>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Doc1</Template>
  <TotalTime>213</TotalTime>
  <Pages>10</Pages>
  <Words>1995</Words>
  <Characters>10975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12945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dc:creator>
  <cp:keywords/>
  <dc:description/>
  <cp:lastModifiedBy>jean marc</cp:lastModifiedBy>
  <cp:revision>7</cp:revision>
  <dcterms:created xsi:type="dcterms:W3CDTF">2009-10-28T10:26:00Z</dcterms:created>
  <dcterms:modified xsi:type="dcterms:W3CDTF">2009-10-28T14:05:00Z</dcterms:modified>
</cp:coreProperties>
</file>